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220e78b6023a245a3e586c3df937dbf9958a749"/>
    <w:p>
      <w:pPr>
        <w:pStyle w:val="Heading1"/>
      </w:pPr>
      <w:r>
        <w:t xml:space="preserve">Pulling back before dropout: Behavioral disengagement precedes youth-sport exit by years in a 14-year register study</w:t>
      </w:r>
    </w:p>
    <w:p>
      <w:pPr>
        <w:pStyle w:val="FirstParagraph"/>
      </w:pPr>
      <w:r>
        <w:rPr>
          <w:b/>
          <w:bCs/>
        </w:rPr>
        <w:t xml:space="preserve">Running title:</w:t>
      </w:r>
      <w:r>
        <w:t xml:space="preserve"> </w:t>
      </w:r>
      <w:r>
        <w:t xml:space="preserve">Behavioral disengagement precedes youth-sport dropout</w:t>
      </w:r>
    </w:p>
    <w:p>
      <w:pPr>
        <w:pStyle w:val="BodyText"/>
      </w:pPr>
      <w:r>
        <w:rPr>
          <w:b/>
          <w:bCs/>
        </w:rPr>
        <w:t xml:space="preserve">Keywords:</w:t>
      </w:r>
      <w:r>
        <w:t xml:space="preserve"> </w:t>
      </w:r>
      <w:r>
        <w:t xml:space="preserve">youth sport, dropout, athlete retention, longitudinal, track and field, behavioral indicators, sport commitment</w:t>
      </w:r>
    </w:p>
    <w:p>
      <w:r>
        <w:pict>
          <v:rect style="width:0;height:1.5pt" o:hralign="center" o:hrstd="t" o:hr="t"/>
        </w:pict>
      </w:r>
    </w:p>
    <w:bookmarkStart w:id="9" w:name="abstract"/>
    <w:p>
      <w:pPr>
        <w:pStyle w:val="Heading2"/>
      </w:pPr>
      <w:r>
        <w:t xml:space="preserve">Abstract</w:t>
      </w:r>
    </w:p>
    <w:p>
      <w:pPr>
        <w:pStyle w:val="FirstParagraph"/>
      </w:pPr>
      <w:r>
        <w:rPr>
          <w:b/>
          <w:bCs/>
        </w:rPr>
        <w:t xml:space="preserve">Objectives.</w:t>
      </w:r>
      <w:r>
        <w:t xml:space="preserve"> </w:t>
      </w:r>
      <w:r>
        <w:t xml:space="preserve">Future dropouts from youth sport pull back from competition years before formal exit, but the longitudinal behavioral signature has been hard to observe directly. We use Norway’s competition register to test whether baseline-window behavior prospectively predicts senior retention.</w:t>
      </w:r>
    </w:p>
    <w:p>
      <w:pPr>
        <w:pStyle w:val="BodyText"/>
      </w:pPr>
      <w:r>
        <w:rPr>
          <w:b/>
          <w:bCs/>
        </w:rPr>
        <w:t xml:space="preserve">Method.</w:t>
      </w:r>
      <w:r>
        <w:t xml:space="preserve"> </w:t>
      </w:r>
      <w:r>
        <w:t xml:space="preserve">We followed 2,123 athletes who competed as 13–14-year-olds in a regional youth track-and-field meet (births 1998–2002), recording annual competition counts, event diversification, championships, and age-norm performance through 2025 (up to 14-year follow-up). The primary analysis was a logistic regression for active senior status (≥2 results at age 20+) using only ages-13–14 predictors. Sensitivity analyses included structural controls, a level-vs-change decomposition, and Cox time-to-cessation.</w:t>
      </w:r>
    </w:p>
    <w:p>
      <w:pPr>
        <w:pStyle w:val="BodyText"/>
      </w:pPr>
      <w:r>
        <w:rPr>
          <w:b/>
          <w:bCs/>
        </w:rPr>
        <w:t xml:space="preserve">Results.</w:t>
      </w:r>
      <w:r>
        <w:t xml:space="preserve"> </w:t>
      </w:r>
      <w:r>
        <w:t xml:space="preserve">Two complementary patterns predicted retention. Baseline-window competition volume (ages 13–14) gave the largest incremental contribution to discrimination (OR = 2.40 per SD, 95% CI [2.07, 2.78]; CV-AUC = 0.751), unchanged by structural controls. Both age-14 level (OR = 2.79) and within-athlete pull-back across ages 14–15 (OR = 2.44) contributed independently — pseudo-</w:t>
      </w:r>
      <w:r>
        <w:rPr>
          <w:i/>
          <w:iCs/>
        </w:rPr>
        <w:t xml:space="preserve">R</w:t>
      </w:r>
      <w:r>
        <w:t xml:space="preserve">² doubled with change. Effects replicated across cohorts (E-value = 5.16). Higher baseline specialization predicted higher retention, contrasting with the diversification literature for peak performance.</w:t>
      </w:r>
    </w:p>
    <w:p>
      <w:pPr>
        <w:pStyle w:val="BodyText"/>
      </w:pPr>
      <w:r>
        <w:rPr>
          <w:b/>
          <w:bCs/>
        </w:rPr>
        <w:t xml:space="preserve">Conclusions.</w:t>
      </w:r>
      <w:r>
        <w:t xml:space="preserve"> </w:t>
      </w:r>
      <w:r>
        <w:t xml:space="preserve">Register-based behavior at the end of the age-14 season prospectively flags athletes at high dropout risk (PPV ≈ 0.94), enabling earlier identification than formal exit.</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Youth sport is thought to be one of the best ways for children to get healthy, develop friendships, and grow as people. Attrition from organized competition during adolescence is substantial across countries and sports (Crane &amp; Temple, 2015; Eime et al., 2013). In Norwegian track and field — a broad-participation individual sport that progressively narrows into a talent-selective pathway during the teens — over 50% of the children who participate at age 13 will have stopped competing in organized track and field by age 17 (Bakken, 2019; Norges Idrettsforbund, 2024). When and how these withdrawals occur has been difficult to determine using the methods researchers currently use.</w:t>
      </w:r>
    </w:p>
    <w:bookmarkEnd w:id="10"/>
    <w:bookmarkStart w:id="11" w:name="Xaa125b98d4201074f48641b593d8557f7166e49"/>
    <w:p>
      <w:pPr>
        <w:pStyle w:val="Heading2"/>
      </w:pPr>
      <w:r>
        <w:t xml:space="preserve">1.1 Dropout as a deliberative, gradual process</w:t>
      </w:r>
    </w:p>
    <w:p>
      <w:pPr>
        <w:pStyle w:val="FirstParagraph"/>
      </w:pPr>
      <w:r>
        <w:t xml:space="preserve">Most research indicates that</w:t>
      </w:r>
      <w:r>
        <w:t xml:space="preserve"> </w:t>
      </w:r>
      <w:r>
        <w:rPr>
          <w:i/>
          <w:iCs/>
        </w:rPr>
        <w:t xml:space="preserve">withdrawal is a process</w:t>
      </w:r>
      <w:r>
        <w:t xml:space="preserve">, and therefore, we would expect to see some form of decline over a period of time. The Sport Commitment Model (Scanlan et al., 1993, 2016) describes how participation is influenced by a person’s enjoyment of the activity, their investment, barriers to participation, alternative activities available, and other factors. All of these factors contribute to a person’s willingness to continue to participate in the activity. Meaningful Engagement Theory (Kretchmar, 2000) supports this perspective as well. Sustained participation is often linked to the meaningfulness that individuals assign to the activity (not necessarily based on success). Self-determination theory makes parallel predictions in motivational language (Ryan &amp; Deci, 2000; Sarrazin et al., 2002; Vallerand, 2007).</w:t>
      </w:r>
    </w:p>
    <w:p>
      <w:pPr>
        <w:pStyle w:val="BodyText"/>
      </w:pPr>
      <w:r>
        <w:t xml:space="preserve">Sociologists have also looked at the process of withdrawal as part of the concept of role-exit (Ebaugh, 1988). Studies using interviews with athletes (Eliasson &amp; Johansson, 2021; Espedalen &amp; Seippel, 2022) have suggested that withdrawal</w:t>
      </w:r>
      <w:r>
        <w:t xml:space="preserve"> </w:t>
      </w:r>
      <w:r>
        <w:t xml:space="preserve">“may be fairly long and emotional for young athletes, and less reversible the further into the process they progress”</w:t>
      </w:r>
      <w:r>
        <w:t xml:space="preserve"> </w:t>
      </w:r>
      <w:r>
        <w:t xml:space="preserve">(Eliasson &amp; Johansson, 2021). Additionally, there appear to be differences among groups of athletes within youth sports regarding how they react to increasing expectations when they reach milestone years of qualifying for competitions (Espedalen, 2025; Wall &amp; Côté, 2007). For example, Wall and Côté suggest that all youth athletes can be divided into two categories: those who are invested in the sport (investors) and those who are simply sampling various activities (samplers). Samplers tend to be much more likely to drop out when expectations increase significantly, while investors are more likely to persist. Therefore, we expect that samplers will exhibit declining levels of participation as they move through their teenage years and into junior status, while investors will sustain higher levels of participation.</w:t>
      </w:r>
    </w:p>
    <w:bookmarkEnd w:id="11"/>
    <w:bookmarkStart w:id="12" w:name="the-quantitative-gap"/>
    <w:p>
      <w:pPr>
        <w:pStyle w:val="Heading2"/>
      </w:pPr>
      <w:r>
        <w:t xml:space="preserve">1.2 The quantitative gap</w:t>
      </w:r>
    </w:p>
    <w:p>
      <w:pPr>
        <w:pStyle w:val="FirstParagraph"/>
      </w:pPr>
      <w:r>
        <w:t xml:space="preserve">While the above-mentioned theories indicate what might happen over time as participants either continue or withdraw from their sport(s), none of them provide direct longitudinal behavioral evidence to support this idea. Withdrawn athletes are systematically harder to recruit into surveys (Eime et al., 2013), and the hypothesized timescale (1–3 years) exceeds most prospective follow-up windows — Sarrazin et al.’s (2002) 21-month handball study is unusually long and still does not bridge the adolescent-to-junior transition. A separate quantitative tradition focuses on cross-sectional correlates (relative age effects, Cobley et al., 2009; early specialization, DiFiori et al., 2014; Jayanthi et al., 2015; Côté &amp; Hancock, 2016; Güllich et al., 2022) and short longitudinal designs measuring proximal psychological constructs (Kuokkanen et al., 2026; Worley &amp; Smith, 2026; Zhong et al., 2026). The trajectory of registered competition behavior — an observable proxy for the engagement balance in the qualitative literature — has not, to our knowledge, been examined. Peringa et al. (2026) and Baker et al. (2026) note that current algorithmic approaches to athlete development have been applied to selection rather than retention.</w:t>
      </w:r>
    </w:p>
    <w:bookmarkEnd w:id="12"/>
    <w:bookmarkStart w:id="13" w:name="the-present-study"/>
    <w:p>
      <w:pPr>
        <w:pStyle w:val="Heading2"/>
      </w:pPr>
      <w:r>
        <w:t xml:space="preserve">1.3 The present study</w:t>
      </w:r>
    </w:p>
    <w:p>
      <w:pPr>
        <w:pStyle w:val="FirstParagraph"/>
      </w:pPr>
      <w:r>
        <w:t xml:space="preserve">In order to test these hypotheses, we have studied 2,123 Norwegian youth athletes longitudinally for up to 14 years using the federation’s competitive registration records (see Figure 1). Our first hypothesis predicts that the</w:t>
      </w:r>
      <w:r>
        <w:t xml:space="preserve"> </w:t>
      </w:r>
      <w:r>
        <w:rPr>
          <w:i/>
          <w:iCs/>
        </w:rPr>
        <w:t xml:space="preserve">participation trajectories</w:t>
      </w:r>
      <w:r>
        <w:t xml:space="preserve"> </w:t>
      </w:r>
      <w:r>
        <w:t xml:space="preserve">of retainers and dropouts will begin to diverge prior to formal withdrawal (</w:t>
      </w:r>
      <w:r>
        <w:rPr>
          <w:i/>
          <w:iCs/>
        </w:rPr>
        <w:t xml:space="preserve">dropout-as-a-process</w:t>
      </w:r>
      <w:r>
        <w:t xml:space="preserve">). According to our second hypothesis,</w:t>
      </w:r>
      <w:r>
        <w:t xml:space="preserve"> </w:t>
      </w:r>
      <w:r>
        <w:rPr>
          <w:i/>
          <w:iCs/>
        </w:rPr>
        <w:t xml:space="preserve">engagement indicators</w:t>
      </w:r>
      <w:r>
        <w:t xml:space="preserve"> </w:t>
      </w:r>
      <w:r>
        <w:t xml:space="preserve">derived from behavioral measures should better predict subsequent senior retention than</w:t>
      </w:r>
      <w:r>
        <w:t xml:space="preserve"> </w:t>
      </w:r>
      <w:r>
        <w:rPr>
          <w:i/>
          <w:iCs/>
        </w:rPr>
        <w:t xml:space="preserve">baseline performance</w:t>
      </w:r>
      <w:r>
        <w:t xml:space="preserve"> </w:t>
      </w:r>
      <w:r>
        <w:t xml:space="preserve">does (</w:t>
      </w:r>
      <w:r>
        <w:rPr>
          <w:i/>
          <w:iCs/>
        </w:rPr>
        <w:t xml:space="preserve">Sport Commitment Model</w:t>
      </w:r>
      <w:r>
        <w:t xml:space="preserve">). Finally, our third hypothesis predicts that the pattern should replicate across the two birth-year cohorts (</w:t>
      </w:r>
      <w:r>
        <w:rPr>
          <w:i/>
          <w:iCs/>
        </w:rPr>
        <w:t xml:space="preserve">no cohort-specific artefact</w:t>
      </w:r>
      <w:r>
        <w:t xml:space="preserve">). Our design views</w:t>
      </w:r>
      <w:r>
        <w:t xml:space="preserve"> </w:t>
      </w:r>
      <w:r>
        <w:rPr>
          <w:i/>
          <w:iCs/>
        </w:rPr>
        <w:t xml:space="preserve">competition behavior</w:t>
      </w:r>
      <w:r>
        <w:t xml:space="preserve"> </w:t>
      </w:r>
      <w:r>
        <w:t xml:space="preserve">as an empirically observable behavioral indicator — not a direct measure of motivation — whose temporal structure can be compared with process-based explanations supported by cross-sectional or short-prospective evidence.</w:t>
      </w:r>
      <w:r>
        <w:t xml:space="preserve"> </w:t>
      </w:r>
      <w:r>
        <w:rPr>
          <w:i/>
          <w:iCs/>
        </w:rPr>
        <w:t xml:space="preserve">Methodological triangulation</w:t>
      </w:r>
      <w:r>
        <w:t xml:space="preserve"> </w:t>
      </w:r>
      <w:r>
        <w:t xml:space="preserve">(Heale &amp; Forbes, 2013) provides additional strength for these process-based explanations because convergence between register patterns and the qualitative literature strengthens both.</w:t>
      </w:r>
    </w:p>
    <w:p>
      <w:r>
        <w:pict>
          <v:rect style="width:0;height:1.5pt" o:hralign="center" o:hrstd="t" o:hr="t"/>
        </w:pict>
      </w:r>
    </w:p>
    <w:bookmarkEnd w:id="13"/>
    <w:bookmarkStart w:id="14" w:name="method"/>
    <w:p>
      <w:pPr>
        <w:pStyle w:val="Heading2"/>
      </w:pPr>
      <w:r>
        <w:t xml:space="preserve">2. Method</w:t>
      </w:r>
    </w:p>
    <w:bookmarkEnd w:id="14"/>
    <w:bookmarkStart w:id="15" w:name="design"/>
    <w:p>
      <w:pPr>
        <w:pStyle w:val="Heading2"/>
      </w:pPr>
      <w:r>
        <w:t xml:space="preserve">2.1 Design</w:t>
      </w:r>
    </w:p>
    <w:p>
      <w:pPr>
        <w:pStyle w:val="FirstParagraph"/>
      </w:pPr>
      <w:r>
        <w:t xml:space="preserve">This was a retrospective longitudinal cohort study using the national competition register as the only data source. This cohort approach reports the entire population satisfying the inclusion criterion, rather than a sample, so we describe statistical estimates for that population rather than infer from a sample to a hypothetical super-population (Berk &amp; Freedman, 2003). We follow STROBE where relevant (von Elm et al., 2007).</w:t>
      </w:r>
    </w:p>
    <w:bookmarkEnd w:id="15"/>
    <w:bookmarkStart w:id="16" w:name="setting-and-inclusion"/>
    <w:p>
      <w:pPr>
        <w:pStyle w:val="Heading2"/>
      </w:pPr>
      <w:r>
        <w:t xml:space="preserve">2.2 Setting and inclusion</w:t>
      </w:r>
    </w:p>
    <w:p>
      <w:pPr>
        <w:pStyle w:val="FirstParagraph"/>
      </w:pPr>
      <w:r>
        <w:t xml:space="preserve">The cohort comprises all athletes who competed in any of six consecutive autumn editions (2011–2016) of a regional grassroots youth meet held simultaneously at three venues in eastern, mid, and western Norway. The athletes included in the cohort were aged 13–14, entering by registering through their regional club federation, with no qualifying performance threshold. This soft self-selection is a design feature: the baseline cohort consists of adolescents already engaged with organized track and field through a registered club, so disengagement trajectories arise from a baseline of demonstrable engagement. We restricted our birth-year window to 1998–2002 (13–14 in the year of their first eligible edition); boundary birth years of 1997 and 2003 were omitted because they would have had only a single eligible edition; athletes participating in both a 13-year-old and a 14-year-old edition were de-duplicated to the earlier edition. See Supplementary Figure S0 for a flow diagram of cohort construction. For cross-cohort replication, participants were partitioned into Cohort A (births 1998–2000, baseline meets 2011–2014; n = 1,301) and Cohort B (births 2001–2002, baseline meets 2014–2016; n = 822). Athletes were retained regardless of subsequent transfers. The total cohort comprised 2,123 athletes (996 male, 1,103 female, 24 with unknown sex), generating 230,868 competition entries through the most recent register update (April 2026).</w:t>
      </w:r>
    </w:p>
    <w:bookmarkEnd w:id="16"/>
    <w:bookmarkStart w:id="17" w:name="follow-up-window"/>
    <w:p>
      <w:pPr>
        <w:pStyle w:val="Heading2"/>
      </w:pPr>
      <w:r>
        <w:t xml:space="preserve">2.3 Follow-up window</w:t>
      </w:r>
    </w:p>
    <w:p>
      <w:pPr>
        <w:pStyle w:val="FirstParagraph"/>
      </w:pPr>
      <w:r>
        <w:t xml:space="preserve">Each athlete was followed longitudinally from baseline through the most recent complete competition season (2025): maximum 14 years (births 1998 competing at the 2011 meet), minimum 9 years (births 2002 at the 2016 meet). All athletes had follow-up past the current senior age threshold (age 20).</w:t>
      </w:r>
    </w:p>
    <w:bookmarkEnd w:id="17"/>
    <w:bookmarkStart w:id="23" w:name="variables"/>
    <w:p>
      <w:pPr>
        <w:pStyle w:val="Heading2"/>
      </w:pPr>
      <w:r>
        <w:t xml:space="preserve">2.4 Variables</w:t>
      </w:r>
    </w:p>
    <w:bookmarkStart w:id="18" w:name="outcome-variables"/>
    <w:p>
      <w:pPr>
        <w:pStyle w:val="Heading3"/>
      </w:pPr>
      <w:r>
        <w:t xml:space="preserve">2.4.1 Outcome variables</w:t>
      </w:r>
    </w:p>
    <w:p>
      <w:pPr>
        <w:pStyle w:val="FirstParagraph"/>
      </w:pPr>
      <w:r>
        <w:t xml:space="preserve">Active senior status is the outcome of interest. This variable is coded 1 if the athlete had ≥2 registered results in any calendar year at age 20+, and 0 otherwise. Two results are needed to exclude sporadic returners while still capturing athletes who compete in separate events within a single meet. Age 20 is chosen as it is the age after which athletes must compete as seniors. We tested sensitivity to our outcome definition using two alternatives: (A) ≥1 senior-age result and (C) ≥2 results in each of two distinct senior-age years (Supplementary Table S9). A</w:t>
      </w:r>
      <w:r>
        <w:t xml:space="preserve"> </w:t>
      </w:r>
      <w:r>
        <w:rPr>
          <w:i/>
          <w:iCs/>
        </w:rPr>
        <w:t xml:space="preserve">secondary</w:t>
      </w:r>
      <w:r>
        <w:t xml:space="preserve">, time-to-event outcome — time to last active season (calendar year with ≥2 results), with athletes active in 2024+ right-censored — supports Kaplan–Meier visualization and Cox-based sensitivity analyses (Section 2.5.4).</w:t>
      </w:r>
    </w:p>
    <w:bookmarkEnd w:id="18"/>
    <w:bookmarkStart w:id="19" w:name="performance-variables"/>
    <w:p>
      <w:pPr>
        <w:pStyle w:val="Heading3"/>
      </w:pPr>
      <w:r>
        <w:t xml:space="preserve">2.4.2 Performance variables</w:t>
      </w:r>
    </w:p>
    <w:p>
      <w:pPr>
        <w:pStyle w:val="FirstParagraph"/>
      </w:pPr>
      <w:r>
        <w:t xml:space="preserve">We transformed each result into its age-norm score in Tyrving points, the Norwegian Athletics Federation youth scoring system (Norges Friidrettsforbund, 2024). Tyrving points are computed from a published table giving, for each event × sex × age combination, a reference performance equivalent to 1,000 points and a per-unit-change quotient. Points were capped at 1,500 to suppress extreme values from data-entry errors. We computed: tyrving_best (maximum across all events at baseline), tyrving_mean (mean), tyrving_peak_pre15 (maximum across all results before age 15), and tyrving_slope_13_16 (OLS slope across ages 13–16).</w:t>
      </w:r>
    </w:p>
    <w:bookmarkEnd w:id="19"/>
    <w:bookmarkStart w:id="20" w:name="specialization-variables"/>
    <w:p>
      <w:pPr>
        <w:pStyle w:val="Heading3"/>
      </w:pPr>
      <w:r>
        <w:t xml:space="preserve">2.4.3 Specialization variables</w:t>
      </w:r>
    </w:p>
    <w:p>
      <w:pPr>
        <w:pStyle w:val="FirstParagraph"/>
      </w:pPr>
      <w:r>
        <w:t xml:space="preserve">For every athlete for every calendar year we count the number of different categories of events (sprint, middle-distance, long-distance, hurdles, jumps, throws, combined events, race walking, relay) for which they posted results, and compute a Herfindahl-Hirschman concentration index</w:t>
      </w:r>
    </w:p>
    <w:p>
      <w:pPr>
        <w:pStyle w:val="BodyText"/>
      </w:pPr>
      <m:oMathPara>
        <m:oMathParaPr>
          <m:jc m:val="center"/>
        </m:oMathParaPr>
        <m:oMath>
          <m:r>
            <m:t>H</m:t>
          </m:r>
          <m:r>
            <m:t>H</m:t>
          </m:r>
          <m:r>
            <m:t>I</m:t>
          </m:r>
          <m:r>
            <m:rPr>
              <m:sty m:val="p"/>
            </m:rPr>
            <m:t>=</m:t>
          </m:r>
          <m:nary>
            <m:naryPr>
              <m:chr m:val="∑"/>
              <m:limLoc m:val="undOvr"/>
              <m:subHide m:val="off"/>
              <m:supHide m:val="off"/>
            </m:naryPr>
            <m:sub>
              <m:r>
                <m:t>i</m:t>
              </m:r>
              <m:r>
                <m:rPr>
                  <m:sty m:val="p"/>
                </m:rPr>
                <m:t>=</m:t>
              </m:r>
              <m:r>
                <m:t>1</m:t>
              </m:r>
            </m:sub>
            <m:sup>
              <m:r>
                <m:t>k</m:t>
              </m:r>
            </m:sup>
            <m:e>
              <m:sSubSup>
                <m:e>
                  <m:r>
                    <m:t>s</m:t>
                  </m:r>
                </m:e>
                <m:sub>
                  <m:r>
                    <m:t>i</m:t>
                  </m:r>
                </m:sub>
                <m:sup>
                  <m:r>
                    <m:t>2</m:t>
                  </m:r>
                </m:sup>
              </m:sSubSup>
            </m:e>
          </m:nary>
        </m:oMath>
      </m:oMathPara>
    </w:p>
    <w:p>
      <w:pPr>
        <w:pStyle w:val="FirstParagraph"/>
      </w:pPr>
      <w:r>
        <w:t xml:space="preserve">where</w:t>
      </w:r>
      <w:r>
        <w:t xml:space="preserve"> </w:t>
      </w:r>
      <m:oMath>
        <m:sSub>
          <m:e>
            <m:r>
              <m:t>s</m:t>
            </m:r>
          </m:e>
          <m:sub>
            <m:r>
              <m:t>i</m:t>
            </m:r>
          </m:sub>
        </m:sSub>
      </m:oMath>
      <w:r>
        <w:t xml:space="preserve"> </w:t>
      </w:r>
      <w:r>
        <w:t xml:space="preserve">is the share of that athlete’s results falling in category</w:t>
      </w:r>
      <w:r>
        <w:t xml:space="preserve"> </w:t>
      </w:r>
      <m:oMath>
        <m:r>
          <m:t>i</m:t>
        </m:r>
      </m:oMath>
      <w:r>
        <w:t xml:space="preserve"> </w:t>
      </w:r>
      <w:r>
        <w:t xml:space="preserve">and</w:t>
      </w:r>
      <w:r>
        <w:t xml:space="preserve"> </w:t>
      </w:r>
      <m:oMath>
        <m:r>
          <m:t>k</m:t>
        </m:r>
      </m:oMath>
      <w:r>
        <w:t xml:space="preserve"> </w:t>
      </w:r>
      <w:r>
        <w:t xml:space="preserve">is the number of categories. HHI ranges from 1/k (perfectly diversified across k categories) to 1 (perfect specialization). Key variables were hhi_early (HHI computed over the first three active seasons), hhi_age_15, and hhi_change = hhi_age_15 − hhi_age_13.</w:t>
      </w:r>
    </w:p>
    <w:bookmarkEnd w:id="20"/>
    <w:bookmarkStart w:id="21" w:name="behavioral-engagement-variables"/>
    <w:p>
      <w:pPr>
        <w:pStyle w:val="Heading3"/>
      </w:pPr>
      <w:r>
        <w:t xml:space="preserve">2.4.4 Behavioral engagement variables</w:t>
      </w:r>
    </w:p>
    <w:p>
      <w:pPr>
        <w:pStyle w:val="FirstParagraph"/>
      </w:pPr>
      <w:r>
        <w:t xml:space="preserve">For each athlete and each age-year from ages 13 to 18 we count how many distinct meets the athlete attended, and thus the volume of meets they recorded results in (vol_age_X), as well as total results (res_age_X) and a year-round indicator (1 when competing both outdoors and indoors; year_round_age_X). Composite indicators: vol_pre_milestone (sum of meets at ages 13–14), vol_milestone (sum of meets at ages 15–16), and vol_trend_milestone = vol_milestone − vol_pre_milestone. n_champ_types counts championship types (Youth, Junior, National, Regional) prior to age 17. These are all</w:t>
      </w:r>
      <w:r>
        <w:t xml:space="preserve"> </w:t>
      </w:r>
      <w:r>
        <w:rPr>
          <w:i/>
          <w:iCs/>
        </w:rPr>
        <w:t xml:space="preserve">observable behavioral markers</w:t>
      </w:r>
      <w:r>
        <w:t xml:space="preserve"> </w:t>
      </w:r>
      <w:r>
        <w:t xml:space="preserve">of engagement, not direct measures of motivation or commitment.</w:t>
      </w:r>
    </w:p>
    <w:bookmarkEnd w:id="21"/>
    <w:bookmarkStart w:id="22" w:name="control-variables"/>
    <w:p>
      <w:pPr>
        <w:pStyle w:val="Heading3"/>
      </w:pPr>
      <w:r>
        <w:t xml:space="preserve">2.4.5 Control variables</w:t>
      </w:r>
    </w:p>
    <w:p>
      <w:pPr>
        <w:pStyle w:val="FirstParagraph"/>
      </w:pPr>
      <w:r>
        <w:t xml:space="preserve">We recorded sex (M/F as registered in the federation’s database), birth quarter (Q1–Q4) for relative-age-effect analyses, baseline region (eastern, mid, or western Norway, by venue), and club size in the baseline year (number of registered athletes in the same club).</w:t>
      </w:r>
    </w:p>
    <w:bookmarkEnd w:id="22"/>
    <w:bookmarkEnd w:id="23"/>
    <w:bookmarkStart w:id="33" w:name="statistical-analysis"/>
    <w:p>
      <w:pPr>
        <w:pStyle w:val="Heading2"/>
      </w:pPr>
      <w:r>
        <w:t xml:space="preserve">2.5 Statistical analysis</w:t>
      </w:r>
    </w:p>
    <w:bookmarkStart w:id="24" w:name="X488782bff4fe2a5f60096609df5827b1de8f26c"/>
    <w:p>
      <w:pPr>
        <w:pStyle w:val="Heading3"/>
      </w:pPr>
      <w:r>
        <w:t xml:space="preserve">2.5.1 Primary analysis: prospective logistic regression</w:t>
      </w:r>
    </w:p>
    <w:p>
      <w:pPr>
        <w:pStyle w:val="FirstParagraph"/>
      </w:pPr>
      <w:r>
        <w:t xml:space="preserve">The principal inferential model is a logistic regression for binary</w:t>
      </w:r>
      <w:r>
        <w:t xml:space="preserve"> </w:t>
      </w:r>
      <w:r>
        <w:rPr>
          <w:i/>
          <w:iCs/>
        </w:rPr>
        <w:t xml:space="preserve">active senior status</w:t>
      </w:r>
      <w:r>
        <w:t xml:space="preserve"> </w:t>
      </w:r>
      <w:r>
        <w:t xml:space="preserve">using only baseline-window predictors (i.e., ages 13–14, prior to the qualification-milestone window): sex, baseline Tyrving, HHI early, and pre-milestone volume (sum of meets at ages 13–14). These models were fitted in a nested stepwise sequence (L1: sex; L2: + Tyrving; L3: + HHI; L4: + pre-milestone volume) to characterize the unique discriminative contribution of each variable class. Continuous covariates were z-standardized (per-SD effects). Discriminative accuracy was assessed by means of 5-fold stratified cross-validated AUC. Restricting our primary predictors to ages 13–14 avoids measurement overlap with the outcome (i.e., if an athlete drops out before age 15, their milestone-window volume = 0 by construction</w:t>
      </w:r>
      <w:r>
        <w:t xml:space="preserve"> </w:t>
      </w:r>
      <w:r>
        <w:rPr>
          <w:i/>
          <w:iCs/>
        </w:rPr>
        <w:t xml:space="preserve">and</w:t>
      </w:r>
      <w:r>
        <w:t xml:space="preserve"> </w:t>
      </w:r>
      <w:r>
        <w:t xml:space="preserve">they cannot retain senior activity — leading to inflated apparent discrimination). Our primary estimate is thus unambiguously prospective.</w:t>
      </w:r>
    </w:p>
    <w:bookmarkEnd w:id="24"/>
    <w:bookmarkStart w:id="25" w:name="structural-controls"/>
    <w:p>
      <w:pPr>
        <w:pStyle w:val="Heading3"/>
      </w:pPr>
      <w:r>
        <w:t xml:space="preserve">2.5.2 Structural controls</w:t>
      </w:r>
    </w:p>
    <w:p>
      <w:pPr>
        <w:pStyle w:val="FirstParagraph"/>
      </w:pPr>
      <w:r>
        <w:t xml:space="preserve">To check whether structural confounding influenced our primary model, we refit the full L4 model including three additional covariates: region (3-level: Vestlandet [reference], Østlandet, Midt-Norge); birth quarter (two indicator variables for quarters indicating relative-age effects [Q1, Q4]); and club size at baseline (standardized number of athletes registered to the same club in the baseline year). We compared pre-milestone volume effect coefficient stability with and without controls (Supplementary Table S13).</w:t>
      </w:r>
    </w:p>
    <w:bookmarkEnd w:id="25"/>
    <w:bookmarkStart w:id="26" w:name="X47432f40904c32733c1a1e65d055e0f2cc5f39b"/>
    <w:p>
      <w:pPr>
        <w:pStyle w:val="Heading3"/>
      </w:pPr>
      <w:r>
        <w:t xml:space="preserve">2.5.3 Within-athlete pull-back vs baseline heterogeneity</w:t>
      </w:r>
    </w:p>
    <w:p>
      <w:pPr>
        <w:pStyle w:val="FirstParagraph"/>
      </w:pPr>
      <w:r>
        <w:t xml:space="preserve">To disentangle (i) early behavioral heterogeneity from (ii) within-athlete pull-back, we fit a logistic regression on athletes still active at age 14 (n = 1,914), which included both the level of volume at age 14 and the change from age 14 to 15. In the spirit of theory, if pull-back conditional on baseline level predicts retention, then both coefficients should be significant. If separation is purely typological, then only the level should matter (see Supplementary Table S14).</w:t>
      </w:r>
    </w:p>
    <w:bookmarkEnd w:id="26"/>
    <w:bookmarkStart w:id="27" w:name="X7439450477d30e4eede84f2423a577a00bb0c32"/>
    <w:p>
      <w:pPr>
        <w:pStyle w:val="Heading3"/>
      </w:pPr>
      <w:r>
        <w:t xml:space="preserve">2.5.4 Time-to-cessation survival analysis (secondary)</w:t>
      </w:r>
    </w:p>
    <w:p>
      <w:pPr>
        <w:pStyle w:val="FirstParagraph"/>
      </w:pPr>
      <w:r>
        <w:t xml:space="preserve">We modeled time from baseline to last active season using Cox (1972) proportional hazards regression with Efron’s (1977) tie-handling (Davidson-Pilon, 2024). The primary Cox specification (Supplementary Table S16) contains a baseline-only predictor set. We also supply a landmark analysis (van Houwelingen, 2007) restricted to athletes active at age 16 (n = 1,167), and a post-baseline Cox specification with ages-15–16 covariates in Supplementary Table S8 and Table 5 (period-specific decomposition); the latter is interpreted with caveats about operational overlap. Proportional hazards were assessed via Schoenfeld residuals (Grambsch &amp; Therneau, 1994). For the dominant covariate we also computed E-values (VanderWeele &amp; Ding, 2017), period-specific estimates, cluster-robust SEs on club name (Lin &amp; Wei, 1989), and sex-stratified models. Hazard ratios are descriptive associations, not causal. Kaplan–Meier curves were stratified by sex, ages 15–16 volume, and pre-17 championship types.</w:t>
      </w:r>
    </w:p>
    <w:bookmarkEnd w:id="27"/>
    <w:bookmarkStart w:id="28" w:name="sample-size-and-detection-capacity"/>
    <w:p>
      <w:pPr>
        <w:pStyle w:val="Heading3"/>
      </w:pPr>
      <w:r>
        <w:t xml:space="preserve">2.5.5 Sample size and detection capacity</w:t>
      </w:r>
    </w:p>
    <w:p>
      <w:pPr>
        <w:pStyle w:val="FirstParagraph"/>
      </w:pPr>
      <w:r>
        <w:t xml:space="preserve">Classical hypothesis-testing sample-size power calculations are not directly applicable to population-based register studies where the full cohort is observed. We replace power with a detection-capacity analysis: given the observed event count, what is the smallest effect size the design could reliably detect, relative to effect sizes in prior dropout research? Following Hsieh &amp; Lavori (2000), our</w:t>
      </w:r>
      <w:r>
        <w:t xml:space="preserve"> </w:t>
      </w:r>
      <m:oMath>
        <m:r>
          <m:t>d</m:t>
        </m:r>
        <m:r>
          <m:rPr>
            <m:sty m:val="p"/>
          </m:rPr>
          <m:t>=</m:t>
        </m:r>
        <m:r>
          <m:t>1</m:t>
        </m:r>
        <m:r>
          <m:rPr>
            <m:sty m:val="p"/>
          </m:rPr>
          <m:t>,</m:t>
        </m:r>
        <m:r>
          <m:t>570</m:t>
        </m:r>
      </m:oMath>
      <w:r>
        <w:t xml:space="preserve"> </w:t>
      </w:r>
      <w:r>
        <w:t xml:space="preserve">Cox events at</w:t>
      </w:r>
      <w:r>
        <w:t xml:space="preserve"> </w:t>
      </w:r>
      <m:oMath>
        <m:r>
          <m:t>α</m:t>
        </m:r>
        <m:r>
          <m:rPr>
            <m:sty m:val="p"/>
          </m:rPr>
          <m:t>=</m:t>
        </m:r>
        <m:r>
          <m:t>.05</m:t>
        </m:r>
      </m:oMath>
      <w:r>
        <w:t xml:space="preserve"> </w:t>
      </w:r>
      <w:r>
        <w:t xml:space="preserve">and 80% power yield</w:t>
      </w:r>
      <w:r>
        <w:t xml:space="preserve"> </w:t>
      </w:r>
      <m:oMath>
        <m:r>
          <m:t>H</m:t>
        </m:r>
        <m:sSub>
          <m:e>
            <m:r>
              <m:t>R</m:t>
            </m:r>
          </m:e>
          <m:sub>
            <m:r>
              <m:rPr>
                <m:sty m:val="p"/>
              </m:rPr>
              <m:t>min</m:t>
            </m:r>
          </m:sub>
        </m:sSub>
        <m:r>
          <m:rPr>
            <m:sty m:val="p"/>
          </m:rPr>
          <m:t>≈</m:t>
        </m:r>
        <m:r>
          <m:t>1.07</m:t>
        </m:r>
      </m:oMath>
      <w:r>
        <w:t xml:space="preserve"> </w:t>
      </w:r>
      <w:r>
        <w:t xml:space="preserve">per SD (≈ 1.15 for a balanced binary covariate). Prior prospective work on youth-sport dropout reports small-to-moderate effects (Cohen’s</w:t>
      </w:r>
      <w:r>
        <w:t xml:space="preserve"> </w:t>
      </w:r>
      <m:oMath>
        <m:r>
          <m:t>d</m:t>
        </m:r>
      </m:oMath>
      <w:r>
        <w:t xml:space="preserve"> </w:t>
      </w:r>
      <w:r>
        <w:t xml:space="preserve">≈ 0.2–0.5; ORs ≈ 1.4–2.5; Calvo et al., 2010; Espedalen &amp; Seippel, 2022; Sarrazin et al., 2002). Our detection capacity is therefore well below typical effect magnitudes, so any null findings should be interpreted as substantively small rather than underpowered.</w:t>
      </w:r>
    </w:p>
    <w:bookmarkEnd w:id="28"/>
    <w:bookmarkStart w:id="29" w:name="missing-data-and-clustering"/>
    <w:p>
      <w:pPr>
        <w:pStyle w:val="Heading3"/>
      </w:pPr>
      <w:r>
        <w:t xml:space="preserve">2.5.6 Missing data and clustering</w:t>
      </w:r>
    </w:p>
    <w:p>
      <w:pPr>
        <w:pStyle w:val="FirstParagraph"/>
      </w:pPr>
      <w:r>
        <w:t xml:space="preserve">Missing values arose for Tyrving score (~20%) and HHI (~10%). Primary analyses used complete-case regression (n = 1,704). Mean-imputation produced near-identical estimates (Supplementary Table S5). Cluster-robust SEs at the club level left coefficients unchanged with marginally wider CIs (Supplementary Table S2).</w:t>
      </w:r>
    </w:p>
    <w:bookmarkEnd w:id="29"/>
    <w:bookmarkStart w:id="30" w:name="X7f9730a47d444f5fd4a4d50f545cee72d9b6503"/>
    <w:p>
      <w:pPr>
        <w:pStyle w:val="Heading3"/>
      </w:pPr>
      <w:r>
        <w:t xml:space="preserve">2.5.7 Calibration and prospective early-warning thresholds</w:t>
      </w:r>
    </w:p>
    <w:p>
      <w:pPr>
        <w:pStyle w:val="FirstParagraph"/>
      </w:pPr>
      <w:r>
        <w:t xml:space="preserve">We computed sensitivity, specificity, PPV, and NPV at five candidate thresholds on pre-milestone volume, applied at the end of the age-14 season — implementable before age-15–16 outcomes exist (Table 6).</w:t>
      </w:r>
    </w:p>
    <w:bookmarkEnd w:id="30"/>
    <w:bookmarkStart w:id="31" w:name="Xfe62d9d2383530a3b94558a15e9d67c0d33fdbd"/>
    <w:p>
      <w:pPr>
        <w:pStyle w:val="Heading3"/>
      </w:pPr>
      <w:r>
        <w:t xml:space="preserve">2.5.8 Cross-cohort replication and variable importance</w:t>
      </w:r>
    </w:p>
    <w:p>
      <w:pPr>
        <w:pStyle w:val="FirstParagraph"/>
      </w:pPr>
      <w:r>
        <w:t xml:space="preserve">The primary L4 logistic regression and secondary Cox specifications were re-estimated separately by cohort. As convergent evidence, we fit a random forest (Breiman, 2001) with 500 trees and maximum depth 8; variable importance is the mean decrease in Gini impurity.</w:t>
      </w:r>
    </w:p>
    <w:bookmarkEnd w:id="31"/>
    <w:bookmarkStart w:id="32" w:name="software"/>
    <w:p>
      <w:pPr>
        <w:pStyle w:val="Heading3"/>
      </w:pPr>
      <w:r>
        <w:t xml:space="preserve">2.5.9 Software</w:t>
      </w:r>
    </w:p>
    <w:p>
      <w:pPr>
        <w:pStyle w:val="FirstParagraph"/>
      </w:pPr>
      <w:r>
        <w:t xml:space="preserve">Analyses used Python 3.13 with lifelines (Davidson-Pilon, 2024) for Cox/Kaplan–Meier and scikit-learn (Pedregosa et al., 2011) for random forest and cross-validation. Figures: matplotlib (Hunter, 2007). The analysis code will be deposited in a public repository upon acceptance. The underlying competition records are publicly accessible via the Norwegian Athletics Federation’s online register; the derived analysis dataset itself cannot be redistributed because it contains personal data (athlete dates of birth) under the EU General Data Protection Regulation (GDPR).</w:t>
      </w:r>
    </w:p>
    <w:bookmarkEnd w:id="32"/>
    <w:bookmarkEnd w:id="33"/>
    <w:bookmarkStart w:id="34" w:name="sex-and-gender"/>
    <w:p>
      <w:pPr>
        <w:pStyle w:val="Heading2"/>
      </w:pPr>
      <w:r>
        <w:t xml:space="preserve">2.6 Sex and gender</w:t>
      </w:r>
    </w:p>
    <w:p>
      <w:pPr>
        <w:pStyle w:val="FirstParagraph"/>
      </w:pPr>
      <w:r>
        <w:t xml:space="preserve">Following SAGER guidance (Heidari et al., 2016), all primary analyses include sex as a covariate, with sex-stratified subgroup analyses in supplementary material (Supplementary Table S7). We use</w:t>
      </w:r>
      <w:r>
        <w:t xml:space="preserve"> </w:t>
      </w:r>
      <w:r>
        <w:t xml:space="preserve">“sex”</w:t>
      </w:r>
      <w:r>
        <w:t xml:space="preserve"> </w:t>
      </w:r>
      <w:r>
        <w:t xml:space="preserve">throughout because the federation registers a binary sex variable assigned at registration; we have no gender-identity information. The covariate female = 1 for female, 0 for male, NA for unknown.</w:t>
      </w:r>
    </w:p>
    <w:bookmarkEnd w:id="34"/>
    <w:bookmarkStart w:id="35" w:name="ethics"/>
    <w:p>
      <w:pPr>
        <w:pStyle w:val="Heading2"/>
      </w:pPr>
      <w:r>
        <w:t xml:space="preserve">2.7 Ethics</w:t>
      </w:r>
    </w:p>
    <w:p>
      <w:pPr>
        <w:pStyle w:val="FirstParagraph"/>
      </w:pPr>
      <w:r>
        <w:t xml:space="preserve">The competition records analyzed are publicly accessible via the Norwegian Athletics Federation’s online register. The derived analysis dataset links these records to athlete dates of birth and therefore constitutes personal data under the EU General Data Protection Regulation (GDPR); it is not redistributed. No personally identifying information appears in this manuscript (athlete identifiers in the analysis are uninterpretable database UUIDs). Norway’s Helseforskningsloven §4 exempts secondary use of register-based data of this kind from formal approval by a Regional Committee for Medical and Health Research Ethics.</w:t>
      </w:r>
    </w:p>
    <w:p>
      <w:r>
        <w:pict>
          <v:rect style="width:0;height:1.5pt" o:hralign="center" o:hrstd="t" o:hr="t"/>
        </w:pict>
      </w:r>
    </w:p>
    <w:bookmarkEnd w:id="35"/>
    <w:bookmarkStart w:id="36" w:name="results"/>
    <w:p>
      <w:pPr>
        <w:pStyle w:val="Heading2"/>
      </w:pPr>
      <w:r>
        <w:t xml:space="preserve">3. Results</w:t>
      </w:r>
    </w:p>
    <w:bookmarkEnd w:id="36"/>
    <w:bookmarkStart w:id="37" w:name="cohort-characteristics"/>
    <w:p>
      <w:pPr>
        <w:pStyle w:val="Heading2"/>
      </w:pPr>
      <w:r>
        <w:t xml:space="preserve">3.1 Cohort characteristics</w:t>
      </w:r>
    </w:p>
    <w:p>
      <w:pPr>
        <w:pStyle w:val="FirstParagraph"/>
      </w:pPr>
      <w:r>
        <w:t xml:space="preserve">The cohort comprised 2,123 athletes (52.0% female): 1,301 in Cohort A and 822 in Cohort B. Cohorts were closely matched on demographic and performance distributions (mean Tyrving best 666 in each; ~41% active at age 17 in each; Table 1). Senior retention (≥1 active season at age 20+) was 15.8% in Cohort A and 17.3% in Cohort B (combined 16.4%). The proportion still active in 2024+ was 5.8% (A) and 10.8% (B), reflecting Cohort B’s shorter follow-up.</w:t>
      </w:r>
    </w:p>
    <w:bookmarkEnd w:id="37"/>
    <w:bookmarkStart w:id="38" w:name="X3f3effad2eaa83c7207be569d73957223d2e30a"/>
    <w:p>
      <w:pPr>
        <w:pStyle w:val="Heading2"/>
      </w:pPr>
      <w:r>
        <w:t xml:space="preserve">Table 1. Cohort characteristics by birth-year cohort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Cohort A (1998–2000)</w:t>
            </w:r>
          </w:p>
        </w:tc>
        <w:tc>
          <w:tcPr/>
          <w:p>
            <w:pPr>
              <w:pStyle w:val="Compact"/>
            </w:pPr>
            <w:r>
              <w:t xml:space="preserve">Cohort B (2001–2002)</w:t>
            </w:r>
          </w:p>
        </w:tc>
        <w:tc>
          <w:tcPr/>
          <w:p>
            <w:pPr>
              <w:pStyle w:val="Compact"/>
            </w:pPr>
            <w:r>
              <w:t xml:space="preserve">All cohorts</w:t>
            </w:r>
          </w:p>
        </w:tc>
      </w:tr>
      <w:tr>
        <w:tc>
          <w:tcPr/>
          <w:p>
            <w:pPr>
              <w:pStyle w:val="Compact"/>
            </w:pPr>
            <w:r>
              <w:t xml:space="preserve">N</w:t>
            </w:r>
          </w:p>
        </w:tc>
        <w:tc>
          <w:tcPr/>
          <w:p>
            <w:pPr>
              <w:pStyle w:val="Compact"/>
            </w:pPr>
            <w:r>
              <w:t xml:space="preserve">1,301</w:t>
            </w:r>
          </w:p>
        </w:tc>
        <w:tc>
          <w:tcPr/>
          <w:p>
            <w:pPr>
              <w:pStyle w:val="Compact"/>
            </w:pPr>
            <w:r>
              <w:t xml:space="preserve">822</w:t>
            </w:r>
          </w:p>
        </w:tc>
        <w:tc>
          <w:tcPr/>
          <w:p>
            <w:pPr>
              <w:pStyle w:val="Compact"/>
            </w:pPr>
            <w:r>
              <w:t xml:space="preserve">2,123</w:t>
            </w:r>
          </w:p>
        </w:tc>
      </w:tr>
      <w:tr>
        <w:tc>
          <w:tcPr/>
          <w:p>
            <w:pPr>
              <w:pStyle w:val="Compact"/>
            </w:pPr>
            <w:r>
              <w:t xml:space="preserve">Male (n)</w:t>
            </w:r>
          </w:p>
        </w:tc>
        <w:tc>
          <w:tcPr/>
          <w:p>
            <w:pPr>
              <w:pStyle w:val="Compact"/>
            </w:pPr>
            <w:r>
              <w:t xml:space="preserve">603</w:t>
            </w:r>
          </w:p>
        </w:tc>
        <w:tc>
          <w:tcPr/>
          <w:p>
            <w:pPr>
              <w:pStyle w:val="Compact"/>
            </w:pPr>
            <w:r>
              <w:t xml:space="preserve">393</w:t>
            </w:r>
          </w:p>
        </w:tc>
        <w:tc>
          <w:tcPr/>
          <w:p>
            <w:pPr>
              <w:pStyle w:val="Compact"/>
            </w:pPr>
            <w:r>
              <w:t xml:space="preserve">996</w:t>
            </w:r>
          </w:p>
        </w:tc>
      </w:tr>
      <w:tr>
        <w:tc>
          <w:tcPr/>
          <w:p>
            <w:pPr>
              <w:pStyle w:val="Compact"/>
            </w:pPr>
            <w:r>
              <w:t xml:space="preserve">Female (n)</w:t>
            </w:r>
          </w:p>
        </w:tc>
        <w:tc>
          <w:tcPr/>
          <w:p>
            <w:pPr>
              <w:pStyle w:val="Compact"/>
            </w:pPr>
            <w:r>
              <w:t xml:space="preserve">684</w:t>
            </w:r>
          </w:p>
        </w:tc>
        <w:tc>
          <w:tcPr/>
          <w:p>
            <w:pPr>
              <w:pStyle w:val="Compact"/>
            </w:pPr>
            <w:r>
              <w:t xml:space="preserve">419</w:t>
            </w:r>
          </w:p>
        </w:tc>
        <w:tc>
          <w:tcPr/>
          <w:p>
            <w:pPr>
              <w:pStyle w:val="Compact"/>
            </w:pPr>
            <w:r>
              <w:t xml:space="preserve">1,103</w:t>
            </w:r>
          </w:p>
        </w:tc>
      </w:tr>
      <w:tr>
        <w:tc>
          <w:tcPr/>
          <w:p>
            <w:pPr>
              <w:pStyle w:val="Compact"/>
            </w:pPr>
            <w:r>
              <w:t xml:space="preserve">Sex unknown (n)</w:t>
            </w:r>
          </w:p>
        </w:tc>
        <w:tc>
          <w:tcPr/>
          <w:p>
            <w:pPr>
              <w:pStyle w:val="Compact"/>
            </w:pPr>
            <w:r>
              <w:t xml:space="preserve">14</w:t>
            </w:r>
          </w:p>
        </w:tc>
        <w:tc>
          <w:tcPr/>
          <w:p>
            <w:pPr>
              <w:pStyle w:val="Compact"/>
            </w:pPr>
            <w:r>
              <w:t xml:space="preserve">10</w:t>
            </w:r>
          </w:p>
        </w:tc>
        <w:tc>
          <w:tcPr/>
          <w:p>
            <w:pPr>
              <w:pStyle w:val="Compact"/>
            </w:pPr>
            <w:r>
              <w:t xml:space="preserve">24</w:t>
            </w:r>
          </w:p>
        </w:tc>
      </w:tr>
      <w:tr>
        <w:tc>
          <w:tcPr/>
          <w:p>
            <w:pPr>
              <w:pStyle w:val="Compact"/>
            </w:pPr>
            <w:r>
              <w:t xml:space="preserve">Median career length (years)</w:t>
            </w:r>
          </w:p>
        </w:tc>
        <w:tc>
          <w:tcPr/>
          <w:p>
            <w:pPr>
              <w:pStyle w:val="Compact"/>
            </w:pPr>
            <w:r>
              <w:t xml:space="preserve">2.0</w:t>
            </w:r>
          </w:p>
        </w:tc>
        <w:tc>
          <w:tcPr/>
          <w:p>
            <w:pPr>
              <w:pStyle w:val="Compact"/>
            </w:pPr>
            <w:r>
              <w:t xml:space="preserve">3.0</w:t>
            </w:r>
          </w:p>
        </w:tc>
        <w:tc>
          <w:tcPr/>
          <w:p>
            <w:pPr>
              <w:pStyle w:val="Compact"/>
            </w:pPr>
            <w:r>
              <w:t xml:space="preserve">2.0</w:t>
            </w:r>
          </w:p>
        </w:tc>
      </w:tr>
      <w:tr>
        <w:tc>
          <w:tcPr/>
          <w:p>
            <w:pPr>
              <w:pStyle w:val="Compact"/>
            </w:pPr>
            <w:r>
              <w:t xml:space="preserve">Active at age 17 (%)</w:t>
            </w:r>
          </w:p>
        </w:tc>
        <w:tc>
          <w:tcPr/>
          <w:p>
            <w:pPr>
              <w:pStyle w:val="Compact"/>
            </w:pPr>
            <w:r>
              <w:t xml:space="preserve">41.0</w:t>
            </w:r>
          </w:p>
        </w:tc>
        <w:tc>
          <w:tcPr/>
          <w:p>
            <w:pPr>
              <w:pStyle w:val="Compact"/>
            </w:pPr>
            <w:r>
              <w:t xml:space="preserve">41.6</w:t>
            </w:r>
          </w:p>
        </w:tc>
        <w:tc>
          <w:tcPr/>
          <w:p>
            <w:pPr>
              <w:pStyle w:val="Compact"/>
            </w:pPr>
            <w:r>
              <w:t xml:space="preserve">41.3</w:t>
            </w:r>
          </w:p>
        </w:tc>
      </w:tr>
      <w:tr>
        <w:tc>
          <w:tcPr/>
          <w:p>
            <w:pPr>
              <w:pStyle w:val="Compact"/>
            </w:pPr>
            <w:r>
              <w:t xml:space="preserve">Active at age 20 (%)</w:t>
            </w:r>
          </w:p>
        </w:tc>
        <w:tc>
          <w:tcPr/>
          <w:p>
            <w:pPr>
              <w:pStyle w:val="Compact"/>
            </w:pPr>
            <w:r>
              <w:t xml:space="preserve">15.8</w:t>
            </w:r>
          </w:p>
        </w:tc>
        <w:tc>
          <w:tcPr/>
          <w:p>
            <w:pPr>
              <w:pStyle w:val="Compact"/>
            </w:pPr>
            <w:r>
              <w:t xml:space="preserve">17.3</w:t>
            </w:r>
          </w:p>
        </w:tc>
        <w:tc>
          <w:tcPr/>
          <w:p>
            <w:pPr>
              <w:pStyle w:val="Compact"/>
            </w:pPr>
            <w:r>
              <w:t xml:space="preserve">16.4</w:t>
            </w:r>
          </w:p>
        </w:tc>
      </w:tr>
      <w:tr>
        <w:tc>
          <w:tcPr/>
          <w:p>
            <w:pPr>
              <w:pStyle w:val="Compact"/>
            </w:pPr>
            <w:r>
              <w:t xml:space="preserve">Still active in 2024 or later (%)</w:t>
            </w:r>
          </w:p>
        </w:tc>
        <w:tc>
          <w:tcPr/>
          <w:p>
            <w:pPr>
              <w:pStyle w:val="Compact"/>
            </w:pPr>
            <w:r>
              <w:t xml:space="preserve">5.8</w:t>
            </w:r>
          </w:p>
        </w:tc>
        <w:tc>
          <w:tcPr/>
          <w:p>
            <w:pPr>
              <w:pStyle w:val="Compact"/>
            </w:pPr>
            <w:r>
              <w:t xml:space="preserve">10.8</w:t>
            </w:r>
          </w:p>
        </w:tc>
        <w:tc>
          <w:tcPr/>
          <w:p>
            <w:pPr>
              <w:pStyle w:val="Compact"/>
            </w:pPr>
            <w:r>
              <w:t xml:space="preserve">7.7</w:t>
            </w:r>
          </w:p>
        </w:tc>
      </w:tr>
      <w:tr>
        <w:tc>
          <w:tcPr/>
          <w:p>
            <w:pPr>
              <w:pStyle w:val="Compact"/>
            </w:pPr>
            <w:r>
              <w:t xml:space="preserve">Mean Tyrving best at baseline</w:t>
            </w:r>
          </w:p>
        </w:tc>
        <w:tc>
          <w:tcPr/>
          <w:p>
            <w:pPr>
              <w:pStyle w:val="Compact"/>
            </w:pPr>
            <w:r>
              <w:t xml:space="preserve">666</w:t>
            </w:r>
          </w:p>
        </w:tc>
        <w:tc>
          <w:tcPr/>
          <w:p>
            <w:pPr>
              <w:pStyle w:val="Compact"/>
            </w:pPr>
            <w:r>
              <w:t xml:space="preserve">666</w:t>
            </w:r>
          </w:p>
        </w:tc>
        <w:tc>
          <w:tcPr/>
          <w:p>
            <w:pPr>
              <w:pStyle w:val="Compact"/>
            </w:pPr>
            <w:r>
              <w:t xml:space="preserve">666</w:t>
            </w:r>
          </w:p>
        </w:tc>
      </w:tr>
      <w:tr>
        <w:tc>
          <w:tcPr/>
          <w:p>
            <w:pPr>
              <w:pStyle w:val="Compact"/>
            </w:pPr>
            <w:r>
              <w:t xml:space="preserve">Median competitions at ages 13–14</w:t>
            </w:r>
          </w:p>
        </w:tc>
        <w:tc>
          <w:tcPr/>
          <w:p>
            <w:pPr>
              <w:pStyle w:val="Compact"/>
            </w:pPr>
            <w:r>
              <w:t xml:space="preserve">8</w:t>
            </w:r>
          </w:p>
        </w:tc>
        <w:tc>
          <w:tcPr/>
          <w:p>
            <w:pPr>
              <w:pStyle w:val="Compact"/>
            </w:pPr>
            <w:r>
              <w:t xml:space="preserve">9</w:t>
            </w:r>
          </w:p>
        </w:tc>
        <w:tc>
          <w:tcPr/>
          <w:p>
            <w:pPr>
              <w:pStyle w:val="Compact"/>
            </w:pPr>
            <w:r>
              <w:t xml:space="preserve">8</w:t>
            </w:r>
          </w:p>
        </w:tc>
      </w:tr>
    </w:tbl>
    <w:p>
      <w:pPr>
        <w:pStyle w:val="BodyText"/>
      </w:pPr>
      <w:r>
        <w:rPr>
          <w:i/>
          <w:iCs/>
        </w:rPr>
        <w:t xml:space="preserve">Note.</w:t>
      </w:r>
      <w:r>
        <w:t xml:space="preserve"> </w:t>
      </w:r>
      <w:r>
        <w:t xml:space="preserve">“Active”</w:t>
      </w:r>
      <w:r>
        <w:t xml:space="preserve"> </w:t>
      </w:r>
      <w:r>
        <w:t xml:space="preserve">indicates ≥2 registered competition results in any calendar year at the specified age. Tyrving points = Norwegian Athletics Federation’s age-norm score where 1,000 =</w:t>
      </w:r>
      <w:r>
        <w:t xml:space="preserve"> </w:t>
      </w:r>
      <w:r>
        <w:t xml:space="preserve">“excellent”</w:t>
      </w:r>
      <w:r>
        <w:t xml:space="preserve"> </w:t>
      </w:r>
      <w:r>
        <w:t xml:space="preserve">for that event × sex × age combination.</w:t>
      </w:r>
    </w:p>
    <w:p>
      <w:r>
        <w:pict>
          <v:rect style="width:0;height:1.5pt" o:hralign="center" o:hrstd="t" o:hr="t"/>
        </w:pict>
      </w:r>
    </w:p>
    <w:bookmarkEnd w:id="38"/>
    <w:bookmarkStart w:id="45" w:name="Xa6dbd7296096ed2e92b02c3b07fa844b570a02d"/>
    <w:p>
      <w:pPr>
        <w:pStyle w:val="Heading2"/>
      </w:pPr>
      <w:r>
        <w:t xml:space="preserve">3.2 Competition-volume trajectories diverge by ages 13–14</w:t>
      </w:r>
    </w:p>
    <w:p>
      <w:pPr>
        <w:pStyle w:val="FirstParagraph"/>
      </w:pPr>
      <w:r>
        <w:t xml:space="preserve">Figure 2 presents the central behavioral observation (Figure 1 shows the conceptual model). Median competitions per year by age are plotted separately for eventual retainers (n = 348) and non-retainers (n = 1,775). The groups already differ at baseline: medians of 13 vs. 8 meets at age 13, and 17 vs. 8 at age 14. From age 15 the trajectories diverge further. Retainers peak at 19 meets at age 15 and sustain that level through age 17. Future dropouts decline from 8 meets at age 14 to 3 at age 15 and 0 thereafter. Two complementary patterns are visible: (i) substantial baseline differences between retainer and dropout groups already at ages 13–14, and (ii) a progressive within-athlete pull-back among future dropouts, most visible across the age-14-to-15 transition. We test these separately below.</w:t>
      </w:r>
    </w:p>
    <w:p>
      <w:pPr>
        <w:pStyle w:val="CaptionedFigure"/>
      </w:pPr>
      <w:r>
        <w:drawing>
          <wp:inline>
            <wp:extent cx="3630076" cy="2024524"/>
            <wp:effectExtent b="0" l="0" r="0" t="0"/>
            <wp:docPr descr="Figure 1" title="" id="40" name="Picture"/>
            <a:graphic>
              <a:graphicData uri="http://schemas.openxmlformats.org/drawingml/2006/picture">
                <pic:pic>
                  <pic:nvPicPr>
                    <pic:cNvPr descr="figures/fig1_conceptual_model.png" id="41" name="Picture"/>
                    <pic:cNvPicPr>
                      <a:picLocks noChangeArrowheads="1" noChangeAspect="1"/>
                    </pic:cNvPicPr>
                  </pic:nvPicPr>
                  <pic:blipFill>
                    <a:blip r:embed="rId39"/>
                    <a:stretch>
                      <a:fillRect/>
                    </a:stretch>
                  </pic:blipFill>
                  <pic:spPr bwMode="auto">
                    <a:xfrm>
                      <a:off x="0" y="0"/>
                      <a:ext cx="3630076" cy="2024524"/>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A behavioral-marker model of youth-sport disengagement. The diagram shows the relationship being tested: theoretical mechanisms hypothesized by the Sport Commitment Model, self-determination theory, and the role-exit / withdrawal-as-process tradition (left) are not directly observed, but are predicted to leave a footprint in measurable competition behavior (centre), which precedes the outcome of active senior retention (right).</w:t>
      </w:r>
    </w:p>
    <w:p>
      <w:pPr>
        <w:pStyle w:val="CaptionedFigure"/>
      </w:pPr>
      <w:r>
        <w:drawing>
          <wp:inline>
            <wp:extent cx="3397653" cy="2152968"/>
            <wp:effectExtent b="0" l="0" r="0" t="0"/>
            <wp:docPr descr="Figure 2" title="" id="43" name="Picture"/>
            <a:graphic>
              <a:graphicData uri="http://schemas.openxmlformats.org/drawingml/2006/picture">
                <pic:pic>
                  <pic:nvPicPr>
                    <pic:cNvPr descr="figures/fig2_volume_trajectory.png" id="44" name="Picture"/>
                    <pic:cNvPicPr>
                      <a:picLocks noChangeArrowheads="1" noChangeAspect="1"/>
                    </pic:cNvPicPr>
                  </pic:nvPicPr>
                  <pic:blipFill>
                    <a:blip r:embed="rId42"/>
                    <a:stretch>
                      <a:fillRect/>
                    </a:stretch>
                  </pic:blipFill>
                  <pic:spPr bwMode="auto">
                    <a:xfrm>
                      <a:off x="0" y="0"/>
                      <a:ext cx="3397653" cy="2152968"/>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Competition volume trajectory by senior-retention status. Median competitions per year (with interquartile range as shaded band) plotted by athlete age (13–18), separately for athletes who retained active senior status (≥2 results in any year at age ≥20; n = 348) and those who did not (n = 1,775). The dashed vertical line at age 15 marks the first qualification milestone (Norwegian Youth Championships). Future retainers and future dropouts already differ at ages 13–14; the gap widens further across the age-14-to-15 transition.</w:t>
      </w:r>
    </w:p>
    <w:bookmarkEnd w:id="45"/>
    <w:bookmarkStart w:id="46" w:name="X9a6c38783434298188d0179517197b4d55f1fe6"/>
    <w:p>
      <w:pPr>
        <w:pStyle w:val="Heading2"/>
      </w:pPr>
      <w:r>
        <w:t xml:space="preserve">Table 2. Competition volume trajectory by senior-retention status (median competitions per year and IQR)</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Group</w:t>
            </w:r>
          </w:p>
        </w:tc>
        <w:tc>
          <w:tcPr/>
          <w:p>
            <w:pPr>
              <w:pStyle w:val="Compact"/>
            </w:pPr>
            <w:r>
              <w:t xml:space="preserve">N</w:t>
            </w:r>
          </w:p>
        </w:tc>
        <w:tc>
          <w:tcPr/>
          <w:p>
            <w:pPr>
              <w:pStyle w:val="Compact"/>
            </w:pPr>
            <w:r>
              <w:t xml:space="preserve">Age 13</w:t>
            </w:r>
          </w:p>
        </w:tc>
        <w:tc>
          <w:tcPr/>
          <w:p>
            <w:pPr>
              <w:pStyle w:val="Compact"/>
            </w:pPr>
            <w:r>
              <w:t xml:space="preserve">Age 14</w:t>
            </w:r>
          </w:p>
        </w:tc>
        <w:tc>
          <w:tcPr/>
          <w:p>
            <w:pPr>
              <w:pStyle w:val="Compact"/>
            </w:pPr>
            <w:r>
              <w:t xml:space="preserve">Age 15</w:t>
            </w:r>
          </w:p>
        </w:tc>
        <w:tc>
          <w:tcPr/>
          <w:p>
            <w:pPr>
              <w:pStyle w:val="Compact"/>
            </w:pPr>
            <w:r>
              <w:t xml:space="preserve">Age 16</w:t>
            </w:r>
          </w:p>
        </w:tc>
        <w:tc>
          <w:tcPr/>
          <w:p>
            <w:pPr>
              <w:pStyle w:val="Compact"/>
            </w:pPr>
            <w:r>
              <w:t xml:space="preserve">Age 17</w:t>
            </w:r>
          </w:p>
        </w:tc>
        <w:tc>
          <w:tcPr/>
          <w:p>
            <w:pPr>
              <w:pStyle w:val="Compact"/>
            </w:pPr>
            <w:r>
              <w:t xml:space="preserve">Age 18</w:t>
            </w:r>
          </w:p>
        </w:tc>
      </w:tr>
      <w:tr>
        <w:tc>
          <w:tcPr/>
          <w:p>
            <w:pPr>
              <w:pStyle w:val="Compact"/>
            </w:pPr>
            <w:r>
              <w:t xml:space="preserve">Senior retainers (active age ≥20)</w:t>
            </w:r>
          </w:p>
        </w:tc>
        <w:tc>
          <w:tcPr/>
          <w:p>
            <w:pPr>
              <w:pStyle w:val="Compact"/>
            </w:pPr>
            <w:r>
              <w:t xml:space="preserve">348</w:t>
            </w:r>
          </w:p>
        </w:tc>
        <w:tc>
          <w:tcPr/>
          <w:p>
            <w:pPr>
              <w:pStyle w:val="Compact"/>
            </w:pPr>
            <w:r>
              <w:t xml:space="preserve">13 [6–21]</w:t>
            </w:r>
          </w:p>
        </w:tc>
        <w:tc>
          <w:tcPr/>
          <w:p>
            <w:pPr>
              <w:pStyle w:val="Compact"/>
            </w:pPr>
            <w:r>
              <w:t xml:space="preserve">17 [10–25]</w:t>
            </w:r>
          </w:p>
        </w:tc>
        <w:tc>
          <w:tcPr/>
          <w:p>
            <w:pPr>
              <w:pStyle w:val="Compact"/>
            </w:pPr>
            <w:r>
              <w:t xml:space="preserve">19 [11–27]</w:t>
            </w:r>
          </w:p>
        </w:tc>
        <w:tc>
          <w:tcPr/>
          <w:p>
            <w:pPr>
              <w:pStyle w:val="Compact"/>
            </w:pPr>
            <w:r>
              <w:t xml:space="preserve">18 [10–26]</w:t>
            </w:r>
          </w:p>
        </w:tc>
        <w:tc>
          <w:tcPr/>
          <w:p>
            <w:pPr>
              <w:pStyle w:val="Compact"/>
            </w:pPr>
            <w:r>
              <w:t xml:space="preserve">17 [10–24]</w:t>
            </w:r>
          </w:p>
        </w:tc>
        <w:tc>
          <w:tcPr/>
          <w:p>
            <w:pPr>
              <w:pStyle w:val="Compact"/>
            </w:pPr>
            <w:r>
              <w:t xml:space="preserve">14 [7–20]</w:t>
            </w:r>
          </w:p>
        </w:tc>
      </w:tr>
      <w:tr>
        <w:tc>
          <w:tcPr/>
          <w:p>
            <w:pPr>
              <w:pStyle w:val="Compact"/>
            </w:pPr>
            <w:r>
              <w:t xml:space="preserve">Dropouts (last active age &lt;20)</w:t>
            </w:r>
          </w:p>
        </w:tc>
        <w:tc>
          <w:tcPr/>
          <w:p>
            <w:pPr>
              <w:pStyle w:val="Compact"/>
            </w:pPr>
            <w:r>
              <w:t xml:space="preserve">1,775</w:t>
            </w:r>
          </w:p>
        </w:tc>
        <w:tc>
          <w:tcPr/>
          <w:p>
            <w:pPr>
              <w:pStyle w:val="Compact"/>
            </w:pPr>
            <w:r>
              <w:t xml:space="preserve">8 [4–13]</w:t>
            </w:r>
          </w:p>
        </w:tc>
        <w:tc>
          <w:tcPr/>
          <w:p>
            <w:pPr>
              <w:pStyle w:val="Compact"/>
            </w:pPr>
            <w:r>
              <w:t xml:space="preserve">8 [3–14]</w:t>
            </w:r>
          </w:p>
        </w:tc>
        <w:tc>
          <w:tcPr/>
          <w:p>
            <w:pPr>
              <w:pStyle w:val="Compact"/>
            </w:pPr>
            <w:r>
              <w:t xml:space="preserve">3 [0–11]</w:t>
            </w:r>
          </w:p>
        </w:tc>
        <w:tc>
          <w:tcPr/>
          <w:p>
            <w:pPr>
              <w:pStyle w:val="Compact"/>
            </w:pPr>
            <w:r>
              <w:t xml:space="preserve">0 [0–7]</w:t>
            </w:r>
          </w:p>
        </w:tc>
        <w:tc>
          <w:tcPr/>
          <w:p>
            <w:pPr>
              <w:pStyle w:val="Compact"/>
            </w:pPr>
            <w:r>
              <w:t xml:space="preserve">0 [0–2]</w:t>
            </w:r>
          </w:p>
        </w:tc>
        <w:tc>
          <w:tcPr/>
          <w:p>
            <w:pPr>
              <w:pStyle w:val="Compact"/>
            </w:pPr>
            <w:r>
              <w:t xml:space="preserve">0 [0–0]</w:t>
            </w:r>
          </w:p>
        </w:tc>
      </w:tr>
    </w:tbl>
    <w:p>
      <w:pPr>
        <w:pStyle w:val="BodyText"/>
      </w:pPr>
      <w:r>
        <w:rPr>
          <w:i/>
          <w:iCs/>
        </w:rPr>
        <w:t xml:space="preserve">Note.</w:t>
      </w:r>
      <w:r>
        <w:t xml:space="preserve"> </w:t>
      </w:r>
      <w:r>
        <w:t xml:space="preserve">Values are median number of meets per year [IQR]. Future retainers and future dropouts already differ at ages 13–14; the gap widens further across the age-14-to-15 transition.</w:t>
      </w:r>
    </w:p>
    <w:p>
      <w:r>
        <w:pict>
          <v:rect style="width:0;height:1.5pt" o:hralign="center" o:hrstd="t" o:hr="t"/>
        </w:pict>
      </w:r>
    </w:p>
    <w:bookmarkEnd w:id="46"/>
    <w:bookmarkStart w:id="50" w:name="survival-visualization"/>
    <w:p>
      <w:pPr>
        <w:pStyle w:val="Heading2"/>
      </w:pPr>
      <w:r>
        <w:t xml:space="preserve">3.3 Survival visualization</w:t>
      </w:r>
    </w:p>
    <w:p>
      <w:pPr>
        <w:pStyle w:val="FirstParagraph"/>
      </w:pPr>
      <w:r>
        <w:t xml:space="preserve">Overall Kaplan–Meier retention (Supplementary Figure S3A) shows half the cohort had ceased active competition within 3 years; 75% within 5 years. Steepest dropout occurs at age 17 (youth-to-junior transition). Sex-stratified curves overlap (log-rank χ² = 0.95, p = 0.33; Supplementary Figure S3B). Stratifying by competition volume across ages 15–16 (Figure 3) yields monotonically separated curves: athletes with ≥31 meets retained 71% senior activity vs. 4% for those with none. (This stratification is descriptive; formal estimates use baseline-only predictors below.) Stratifying by pre-17 championship types shows the same pattern (Supplementary Figure S4).</w:t>
      </w:r>
    </w:p>
    <w:p>
      <w:pPr>
        <w:pStyle w:val="CaptionedFigure"/>
      </w:pPr>
      <w:r>
        <w:drawing>
          <wp:inline>
            <wp:extent cx="3250860" cy="2241656"/>
            <wp:effectExtent b="0" l="0" r="0" t="0"/>
            <wp:docPr descr="Figure 3" title="" id="48" name="Picture"/>
            <a:graphic>
              <a:graphicData uri="http://schemas.openxmlformats.org/drawingml/2006/picture">
                <pic:pic>
                  <pic:nvPicPr>
                    <pic:cNvPr descr="figures/fig3_km_vol_quintile.png" id="49" name="Picture"/>
                    <pic:cNvPicPr>
                      <a:picLocks noChangeArrowheads="1" noChangeAspect="1"/>
                    </pic:cNvPicPr>
                  </pic:nvPicPr>
                  <pic:blipFill>
                    <a:blip r:embed="rId47"/>
                    <a:stretch>
                      <a:fillRect/>
                    </a:stretch>
                  </pic:blipFill>
                  <pic:spPr bwMode="auto">
                    <a:xfrm>
                      <a:off x="0" y="0"/>
                      <a:ext cx="3250860" cy="2241656"/>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Kaplan–Meier retention curves stratified by total competition volume across ages 15 and 16 (descriptive). Strata are: 0 meets, 1–5 meets, 6–15 meets, 16–30 meets, and 31+ meets. Athletes in the highest stratum retained 71% senior activity at follow-up year 14; athletes in the lowest stratum retained 4%. (Note: this descriptive stratification uses post-baseline measurement; primary effect estimates in Table 3 use only baseline-window predictors.)</w:t>
      </w:r>
    </w:p>
    <w:bookmarkEnd w:id="50"/>
    <w:bookmarkStart w:id="51" w:name="X212fbb144b357bbb65ca9c20fb99d6d52021b1e"/>
    <w:p>
      <w:pPr>
        <w:pStyle w:val="Heading2"/>
      </w:pPr>
      <w:r>
        <w:t xml:space="preserve">3.4 Primary analysis: prospective logistic regression for senior retention</w:t>
      </w:r>
    </w:p>
    <w:p>
      <w:pPr>
        <w:pStyle w:val="FirstParagraph"/>
      </w:pPr>
      <w:r>
        <w:rPr>
          <w:b/>
          <w:bCs/>
        </w:rPr>
        <w:t xml:space="preserve">Among baseline-window predictors (ages 13–14), competition volume provided the largest incremental contribution to prospective discrimination of senior retention 6–14 years later: OR = 2.40 per SD (95% CI [2.07, 2.78],</w:t>
      </w:r>
      <w:r>
        <w:rPr>
          <w:b/>
          <w:bCs/>
        </w:rPr>
        <w:t xml:space="preserve"> </w:t>
      </w:r>
      <w:r>
        <w:rPr>
          <w:b/>
          <w:bCs/>
          <w:i/>
          <w:iCs/>
        </w:rPr>
        <w:t xml:space="preserve">p</w:t>
      </w:r>
      <w:r>
        <w:rPr>
          <w:b/>
          <w:bCs/>
        </w:rPr>
        <w:t xml:space="preserve"> </w:t>
      </w:r>
      <w:r>
        <w:rPr>
          <w:b/>
          <w:bCs/>
        </w:rPr>
        <w:t xml:space="preserve">&lt; .001), cross-validated AUC = 0.751.</w:t>
      </w:r>
      <w:r>
        <w:t xml:space="preserve"> </w:t>
      </w:r>
      <w:r>
        <w:t xml:space="preserve">The stepwise model below builds this estimate.</w:t>
      </w:r>
    </w:p>
    <w:p>
      <w:pPr>
        <w:pStyle w:val="BodyText"/>
      </w:pPr>
      <w:r>
        <w:t xml:space="preserve">The primary analysis is a logistic regression for the binary outcome</w:t>
      </w:r>
      <w:r>
        <w:t xml:space="preserve"> </w:t>
      </w:r>
      <w:r>
        <w:rPr>
          <w:i/>
          <w:iCs/>
        </w:rPr>
        <w:t xml:space="preserve">active senior status</w:t>
      </w:r>
      <w:r>
        <w:t xml:space="preserve"> </w:t>
      </w:r>
      <w:r>
        <w:t xml:space="preserve">(≥2 registered competitions in any calendar year at age ≥20), using baseline-only predictors to avoid look-ahead. Models were fitted stepwise (Table 3) with 5-fold cross-validated AUC.</w:t>
      </w:r>
    </w:p>
    <w:p>
      <w:pPr>
        <w:pStyle w:val="BodyText"/>
      </w:pPr>
      <w:r>
        <w:t xml:space="preserve">Sex alone produced a near-chance discrimination (CV-AUC = 0.541). Adding baseline Tyrving performance increased AUC modestly to 0.607; adding early specialization (HHI) added nothing further (AUC = 0.600). Adding pre-milestone competition volume (sum of meets at ages 13–14) raised AUC substantially to</w:t>
      </w:r>
      <w:r>
        <w:t xml:space="preserve"> </w:t>
      </w:r>
      <w:r>
        <w:rPr>
          <w:b/>
          <w:bCs/>
        </w:rPr>
        <w:t xml:space="preserve">0.751</w:t>
      </w:r>
      <w:r>
        <w:t xml:space="preserve">, with an odds ratio of 2.40 per SD (95% CI [2.07, 2.78],</w:t>
      </w:r>
      <w:r>
        <w:t xml:space="preserve"> </w:t>
      </w:r>
      <w:r>
        <w:rPr>
          <w:i/>
          <w:iCs/>
        </w:rPr>
        <w:t xml:space="preserve">p</w:t>
      </w:r>
      <w:r>
        <w:t xml:space="preserve"> </w:t>
      </w:r>
      <w:r>
        <w:t xml:space="preserve">&lt; .001). Higher baseline competition volume was therefore associated with 2.4-times higher odds of senior retention per one-SD increase. Specialization (HHI) became significantly associated with retention once volume was entered (OR = 1.35 per SD;</w:t>
      </w:r>
      <w:r>
        <w:t xml:space="preserve"> </w:t>
      </w:r>
      <w:r>
        <w:rPr>
          <w:i/>
          <w:iCs/>
        </w:rPr>
        <w:t xml:space="preserve">p</w:t>
      </w:r>
      <w:r>
        <w:t xml:space="preserve"> </w:t>
      </w:r>
      <w:r>
        <w:t xml:space="preserve">&lt; .001) —</w:t>
      </w:r>
      <w:r>
        <w:t xml:space="preserve"> </w:t>
      </w:r>
      <w:r>
        <w:rPr>
          <w:i/>
          <w:iCs/>
        </w:rPr>
        <w:t xml:space="preserve">higher</w:t>
      </w:r>
      <w:r>
        <w:t xml:space="preserve"> </w:t>
      </w:r>
      <w:r>
        <w:t xml:space="preserve">baseline HHI (more concentration in fewer event categories) predicted</w:t>
      </w:r>
      <w:r>
        <w:t xml:space="preserve"> </w:t>
      </w:r>
      <w:r>
        <w:rPr>
          <w:i/>
          <w:iCs/>
        </w:rPr>
        <w:t xml:space="preserve">higher</w:t>
      </w:r>
      <w:r>
        <w:t xml:space="preserve"> </w:t>
      </w:r>
      <w:r>
        <w:t xml:space="preserve">retention, a finding we return to in §3.10 and the Discussion.</w:t>
      </w:r>
    </w:p>
    <w:bookmarkEnd w:id="51"/>
    <w:bookmarkStart w:id="52" w:name="Xb8cde947c4ddc1e5df834e78ab22bae1a1fbba6"/>
    <w:p>
      <w:pPr>
        <w:pStyle w:val="Heading2"/>
      </w:pPr>
      <w:r>
        <w:t xml:space="preserve">Table 3. Primary analysis: prospective logistic regression for active senior status (baseline-only predictors, ages 13–14)</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c>
          <w:tcPr/>
          <w:p>
            <w:pPr>
              <w:pStyle w:val="Compact"/>
            </w:pPr>
            <w:r>
              <w:t xml:space="preserve">CV-AUC</w:t>
            </w:r>
          </w:p>
        </w:tc>
        <w:tc>
          <w:tcPr/>
          <w:p>
            <w:pPr>
              <w:pStyle w:val="Compact"/>
            </w:pPr>
            <w:r>
              <w:t xml:space="preserve">n</w:t>
            </w:r>
          </w:p>
        </w:tc>
      </w:tr>
      <w:tr>
        <w:tc>
          <w:tcPr/>
          <w:p>
            <w:pPr>
              <w:pStyle w:val="Compact"/>
            </w:pPr>
            <w:r>
              <w:t xml:space="preserve">L1: Sex only</w:t>
            </w:r>
          </w:p>
        </w:tc>
        <w:tc>
          <w:tcPr/>
          <w:p>
            <w:pPr>
              <w:pStyle w:val="Compact"/>
            </w:pPr>
            <w:r>
              <w:t xml:space="preserve">Female</w:t>
            </w:r>
          </w:p>
        </w:tc>
        <w:tc>
          <w:tcPr/>
          <w:p>
            <w:pPr>
              <w:pStyle w:val="Compact"/>
            </w:pPr>
            <w:r>
              <w:t xml:space="preserve">0.72</w:t>
            </w:r>
          </w:p>
        </w:tc>
        <w:tc>
          <w:tcPr/>
          <w:p>
            <w:pPr>
              <w:pStyle w:val="Compact"/>
            </w:pPr>
            <w:r>
              <w:t xml:space="preserve">[0.56, 0.93]</w:t>
            </w:r>
          </w:p>
        </w:tc>
        <w:tc>
          <w:tcPr/>
          <w:p>
            <w:pPr>
              <w:pStyle w:val="Compact"/>
            </w:pPr>
            <w:r>
              <w:t xml:space="preserve">.012</w:t>
            </w:r>
          </w:p>
        </w:tc>
        <w:tc>
          <w:tcPr/>
          <w:p>
            <w:pPr>
              <w:pStyle w:val="Compact"/>
            </w:pPr>
            <w:r>
              <w:t xml:space="preserve">0.541 (±0.023)</w:t>
            </w:r>
          </w:p>
        </w:tc>
        <w:tc>
          <w:tcPr/>
          <w:p>
            <w:pPr>
              <w:pStyle w:val="Compact"/>
            </w:pPr>
            <w:r>
              <w:t xml:space="preserve">1,704</w:t>
            </w:r>
          </w:p>
        </w:tc>
      </w:tr>
      <w:tr>
        <w:tc>
          <w:tcPr/>
          <w:p>
            <w:pPr>
              <w:pStyle w:val="Compact"/>
            </w:pPr>
            <w:r>
              <w:t xml:space="preserve">L2: + Performance</w:t>
            </w:r>
          </w:p>
        </w:tc>
        <w:tc>
          <w:tcPr/>
          <w:p>
            <w:pPr>
              <w:pStyle w:val="Compact"/>
            </w:pPr>
            <w:r>
              <w:t xml:space="preserve">Female</w:t>
            </w:r>
          </w:p>
        </w:tc>
        <w:tc>
          <w:tcPr/>
          <w:p>
            <w:pPr>
              <w:pStyle w:val="Compact"/>
            </w:pPr>
            <w:r>
              <w:t xml:space="preserve">0.68</w:t>
            </w:r>
          </w:p>
        </w:tc>
        <w:tc>
          <w:tcPr/>
          <w:p>
            <w:pPr>
              <w:pStyle w:val="Compact"/>
            </w:pPr>
            <w:r>
              <w:t xml:space="preserve">[0.52, 0.88]</w:t>
            </w:r>
          </w:p>
        </w:tc>
        <w:tc>
          <w:tcPr/>
          <w:p>
            <w:pPr>
              <w:pStyle w:val="Compact"/>
            </w:pPr>
            <w:r>
              <w:t xml:space="preserve">.003</w:t>
            </w:r>
          </w:p>
        </w:tc>
        <w:tc>
          <w:tcPr/>
          <w:p>
            <w:pPr>
              <w:pStyle w:val="Compact"/>
            </w:pPr>
            <w:r>
              <w:t xml:space="preserve">0.607 (±0.014)</w:t>
            </w:r>
          </w:p>
        </w:tc>
        <w:tc>
          <w:tcPr/>
          <w:p>
            <w:pPr>
              <w:pStyle w:val="Compact"/>
            </w:pPr>
            <w:r>
              <w:t xml:space="preserve">1,704</w:t>
            </w:r>
          </w:p>
        </w:tc>
      </w:tr>
      <w:tr>
        <w:tc>
          <w:tcPr/>
          <w:p>
            <w:pPr>
              <w:pStyle w:val="Compact"/>
            </w:pPr>
          </w:p>
        </w:tc>
        <w:tc>
          <w:tcPr/>
          <w:p>
            <w:pPr>
              <w:pStyle w:val="Compact"/>
            </w:pPr>
            <w:r>
              <w:t xml:space="preserve">Tyrving (z)</w:t>
            </w:r>
          </w:p>
        </w:tc>
        <w:tc>
          <w:tcPr/>
          <w:p>
            <w:pPr>
              <w:pStyle w:val="Compact"/>
            </w:pPr>
            <w:r>
              <w:t xml:space="preserve">1.41</w:t>
            </w:r>
          </w:p>
        </w:tc>
        <w:tc>
          <w:tcPr/>
          <w:p>
            <w:pPr>
              <w:pStyle w:val="Compact"/>
            </w:pPr>
            <w:r>
              <w:t xml:space="preserve">[1.22, 1.64]</w:t>
            </w:r>
          </w:p>
        </w:tc>
        <w:tc>
          <w:tcPr/>
          <w:p>
            <w:pPr>
              <w:pStyle w:val="Compact"/>
            </w:pPr>
            <w:r>
              <w:t xml:space="preserve">&lt; .001</w:t>
            </w:r>
          </w:p>
        </w:tc>
        <w:tc>
          <w:tcPr/>
          <w:p>
            <w:pPr>
              <w:pStyle w:val="Compact"/>
            </w:pPr>
          </w:p>
        </w:tc>
        <w:tc>
          <w:tcPr/>
          <w:p>
            <w:pPr>
              <w:pStyle w:val="Compact"/>
            </w:pPr>
          </w:p>
        </w:tc>
      </w:tr>
      <w:tr>
        <w:tc>
          <w:tcPr/>
          <w:p>
            <w:pPr>
              <w:pStyle w:val="Compact"/>
            </w:pPr>
            <w:r>
              <w:t xml:space="preserve">L3: + Specialization</w:t>
            </w:r>
          </w:p>
        </w:tc>
        <w:tc>
          <w:tcPr/>
          <w:p>
            <w:pPr>
              <w:pStyle w:val="Compact"/>
            </w:pPr>
            <w:r>
              <w:t xml:space="preserve">Female</w:t>
            </w:r>
          </w:p>
        </w:tc>
        <w:tc>
          <w:tcPr/>
          <w:p>
            <w:pPr>
              <w:pStyle w:val="Compact"/>
            </w:pPr>
            <w:r>
              <w:t xml:space="preserve">0.68</w:t>
            </w:r>
          </w:p>
        </w:tc>
        <w:tc>
          <w:tcPr/>
          <w:p>
            <w:pPr>
              <w:pStyle w:val="Compact"/>
            </w:pPr>
            <w:r>
              <w:t xml:space="preserve">[0.53, 0.88]</w:t>
            </w:r>
          </w:p>
        </w:tc>
        <w:tc>
          <w:tcPr/>
          <w:p>
            <w:pPr>
              <w:pStyle w:val="Compact"/>
            </w:pPr>
            <w:r>
              <w:t xml:space="preserve">.004</w:t>
            </w:r>
          </w:p>
        </w:tc>
        <w:tc>
          <w:tcPr/>
          <w:p>
            <w:pPr>
              <w:pStyle w:val="Compact"/>
            </w:pPr>
            <w:r>
              <w:t xml:space="preserve">0.600 (±0.019)</w:t>
            </w:r>
          </w:p>
        </w:tc>
        <w:tc>
          <w:tcPr/>
          <w:p>
            <w:pPr>
              <w:pStyle w:val="Compact"/>
            </w:pPr>
            <w:r>
              <w:t xml:space="preserve">1,704</w:t>
            </w:r>
          </w:p>
        </w:tc>
      </w:tr>
      <w:tr>
        <w:tc>
          <w:tcPr/>
          <w:p>
            <w:pPr>
              <w:pStyle w:val="Compact"/>
            </w:pPr>
          </w:p>
        </w:tc>
        <w:tc>
          <w:tcPr/>
          <w:p>
            <w:pPr>
              <w:pStyle w:val="Compact"/>
            </w:pPr>
            <w:r>
              <w:t xml:space="preserve">Tyrving (z)</w:t>
            </w:r>
          </w:p>
        </w:tc>
        <w:tc>
          <w:tcPr/>
          <w:p>
            <w:pPr>
              <w:pStyle w:val="Compact"/>
            </w:pPr>
            <w:r>
              <w:t xml:space="preserve">1.41</w:t>
            </w:r>
          </w:p>
        </w:tc>
        <w:tc>
          <w:tcPr/>
          <w:p>
            <w:pPr>
              <w:pStyle w:val="Compact"/>
            </w:pPr>
            <w:r>
              <w:t xml:space="preserve">[1.22, 1.64]</w:t>
            </w:r>
          </w:p>
        </w:tc>
        <w:tc>
          <w:tcPr/>
          <w:p>
            <w:pPr>
              <w:pStyle w:val="Compact"/>
            </w:pPr>
            <w:r>
              <w:t xml:space="preserve">&lt; .001</w:t>
            </w:r>
          </w:p>
        </w:tc>
        <w:tc>
          <w:tcPr/>
          <w:p>
            <w:pPr>
              <w:pStyle w:val="Compact"/>
            </w:pPr>
          </w:p>
        </w:tc>
        <w:tc>
          <w:tcPr/>
          <w:p>
            <w:pPr>
              <w:pStyle w:val="Compact"/>
            </w:pPr>
          </w:p>
        </w:tc>
      </w:tr>
      <w:tr>
        <w:tc>
          <w:tcPr/>
          <w:p>
            <w:pPr>
              <w:pStyle w:val="Compact"/>
            </w:pPr>
          </w:p>
        </w:tc>
        <w:tc>
          <w:tcPr/>
          <w:p>
            <w:pPr>
              <w:pStyle w:val="Compact"/>
            </w:pPr>
            <w:r>
              <w:t xml:space="preserve">HHI early (z)</w:t>
            </w:r>
          </w:p>
        </w:tc>
        <w:tc>
          <w:tcPr/>
          <w:p>
            <w:pPr>
              <w:pStyle w:val="Compact"/>
            </w:pPr>
            <w:r>
              <w:t xml:space="preserve">1.09</w:t>
            </w:r>
          </w:p>
        </w:tc>
        <w:tc>
          <w:tcPr/>
          <w:p>
            <w:pPr>
              <w:pStyle w:val="Compact"/>
            </w:pPr>
            <w:r>
              <w:t xml:space="preserve">[0.95, 1.24]</w:t>
            </w:r>
          </w:p>
        </w:tc>
        <w:tc>
          <w:tcPr/>
          <w:p>
            <w:pPr>
              <w:pStyle w:val="Compact"/>
            </w:pPr>
            <w:r>
              <w:t xml:space="preserve">.238</w:t>
            </w:r>
          </w:p>
        </w:tc>
        <w:tc>
          <w:tcPr/>
          <w:p>
            <w:pPr>
              <w:pStyle w:val="Compact"/>
            </w:pPr>
          </w:p>
        </w:tc>
        <w:tc>
          <w:tcPr/>
          <w:p>
            <w:pPr>
              <w:pStyle w:val="Compact"/>
            </w:pPr>
          </w:p>
        </w:tc>
      </w:tr>
      <w:tr>
        <w:tc>
          <w:tcPr/>
          <w:p>
            <w:pPr>
              <w:pStyle w:val="Compact"/>
            </w:pPr>
            <w:r>
              <w:t xml:space="preserve">L4: + Pre-milestone volume</w:t>
            </w:r>
          </w:p>
        </w:tc>
        <w:tc>
          <w:tcPr/>
          <w:p>
            <w:pPr>
              <w:pStyle w:val="Compact"/>
            </w:pPr>
            <w:r>
              <w:t xml:space="preserve">Female</w:t>
            </w:r>
          </w:p>
        </w:tc>
        <w:tc>
          <w:tcPr/>
          <w:p>
            <w:pPr>
              <w:pStyle w:val="Compact"/>
            </w:pPr>
            <w:r>
              <w:t xml:space="preserve">0.61</w:t>
            </w:r>
          </w:p>
        </w:tc>
        <w:tc>
          <w:tcPr/>
          <w:p>
            <w:pPr>
              <w:pStyle w:val="Compact"/>
            </w:pPr>
            <w:r>
              <w:t xml:space="preserve">[0.46, 0.80]</w:t>
            </w:r>
          </w:p>
        </w:tc>
        <w:tc>
          <w:tcPr/>
          <w:p>
            <w:pPr>
              <w:pStyle w:val="Compact"/>
            </w:pPr>
            <w:r>
              <w:t xml:space="preserve">&lt; .001</w:t>
            </w:r>
          </w:p>
        </w:tc>
        <w:tc>
          <w:tcPr/>
          <w:p>
            <w:pPr>
              <w:pStyle w:val="Compact"/>
            </w:pPr>
            <w:r>
              <w:rPr>
                <w:b/>
                <w:bCs/>
              </w:rPr>
              <w:t xml:space="preserve">0.751</w:t>
            </w:r>
            <w:r>
              <w:t xml:space="preserve"> </w:t>
            </w:r>
            <w:r>
              <w:t xml:space="preserve">(±0.026)</w:t>
            </w:r>
          </w:p>
        </w:tc>
        <w:tc>
          <w:tcPr/>
          <w:p>
            <w:pPr>
              <w:pStyle w:val="Compact"/>
            </w:pPr>
            <w:r>
              <w:t xml:space="preserve">1,704</w:t>
            </w:r>
          </w:p>
        </w:tc>
      </w:tr>
      <w:tr>
        <w:tc>
          <w:tcPr/>
          <w:p>
            <w:pPr>
              <w:pStyle w:val="Compact"/>
            </w:pPr>
          </w:p>
        </w:tc>
        <w:tc>
          <w:tcPr/>
          <w:p>
            <w:pPr>
              <w:pStyle w:val="Compact"/>
            </w:pPr>
            <w:r>
              <w:t xml:space="preserve">Tyrving (z)</w:t>
            </w:r>
          </w:p>
        </w:tc>
        <w:tc>
          <w:tcPr/>
          <w:p>
            <w:pPr>
              <w:pStyle w:val="Compact"/>
            </w:pPr>
            <w:r>
              <w:t xml:space="preserve">1.12</w:t>
            </w:r>
          </w:p>
        </w:tc>
        <w:tc>
          <w:tcPr/>
          <w:p>
            <w:pPr>
              <w:pStyle w:val="Compact"/>
            </w:pPr>
            <w:r>
              <w:t xml:space="preserve">[0.96, 1.30]</w:t>
            </w:r>
          </w:p>
        </w:tc>
        <w:tc>
          <w:tcPr/>
          <w:p>
            <w:pPr>
              <w:pStyle w:val="Compact"/>
            </w:pPr>
            <w:r>
              <w:t xml:space="preserve">.144</w:t>
            </w:r>
          </w:p>
        </w:tc>
        <w:tc>
          <w:tcPr/>
          <w:p>
            <w:pPr>
              <w:pStyle w:val="Compact"/>
            </w:pPr>
          </w:p>
        </w:tc>
        <w:tc>
          <w:tcPr/>
          <w:p>
            <w:pPr>
              <w:pStyle w:val="Compact"/>
            </w:pPr>
          </w:p>
        </w:tc>
      </w:tr>
      <w:tr>
        <w:tc>
          <w:tcPr/>
          <w:p>
            <w:pPr>
              <w:pStyle w:val="Compact"/>
            </w:pPr>
          </w:p>
        </w:tc>
        <w:tc>
          <w:tcPr/>
          <w:p>
            <w:pPr>
              <w:pStyle w:val="Compact"/>
            </w:pPr>
            <w:r>
              <w:t xml:space="preserve">HHI early (z)</w:t>
            </w:r>
          </w:p>
        </w:tc>
        <w:tc>
          <w:tcPr/>
          <w:p>
            <w:pPr>
              <w:pStyle w:val="Compact"/>
            </w:pPr>
            <w:r>
              <w:t xml:space="preserve">1.36</w:t>
            </w:r>
          </w:p>
        </w:tc>
        <w:tc>
          <w:tcPr/>
          <w:p>
            <w:pPr>
              <w:pStyle w:val="Compact"/>
            </w:pPr>
            <w:r>
              <w:t xml:space="preserve">[1.17, 1.57]</w:t>
            </w:r>
          </w:p>
        </w:tc>
        <w:tc>
          <w:tcPr/>
          <w:p>
            <w:pPr>
              <w:pStyle w:val="Compact"/>
            </w:pPr>
            <w:r>
              <w:t xml:space="preserve">&lt; .001</w:t>
            </w:r>
          </w:p>
        </w:tc>
        <w:tc>
          <w:tcPr/>
          <w:p>
            <w:pPr>
              <w:pStyle w:val="Compact"/>
            </w:pPr>
          </w:p>
        </w:tc>
        <w:tc>
          <w:tcPr/>
          <w:p>
            <w:pPr>
              <w:pStyle w:val="Compact"/>
            </w:pPr>
          </w:p>
        </w:tc>
      </w:tr>
      <w:tr>
        <w:tc>
          <w:tcPr/>
          <w:p>
            <w:pPr>
              <w:pStyle w:val="Compact"/>
            </w:pPr>
          </w:p>
        </w:tc>
        <w:tc>
          <w:tcPr/>
          <w:p>
            <w:pPr>
              <w:pStyle w:val="Compact"/>
            </w:pPr>
            <w:r>
              <w:rPr>
                <w:b/>
                <w:bCs/>
              </w:rPr>
              <w:t xml:space="preserve">Pre-milestone volume (z)</w:t>
            </w:r>
          </w:p>
        </w:tc>
        <w:tc>
          <w:tcPr/>
          <w:p>
            <w:pPr>
              <w:pStyle w:val="Compact"/>
            </w:pPr>
            <w:r>
              <w:rPr>
                <w:b/>
                <w:bCs/>
              </w:rPr>
              <w:t xml:space="preserve">2.40</w:t>
            </w:r>
          </w:p>
        </w:tc>
        <w:tc>
          <w:tcPr/>
          <w:p>
            <w:pPr>
              <w:pStyle w:val="Compact"/>
            </w:pPr>
            <w:r>
              <w:rPr>
                <w:b/>
                <w:bCs/>
              </w:rPr>
              <w:t xml:space="preserve">[2.08, 2.76]</w:t>
            </w:r>
          </w:p>
        </w:tc>
        <w:tc>
          <w:tcPr/>
          <w:p>
            <w:pPr>
              <w:pStyle w:val="Compact"/>
            </w:pPr>
            <w:r>
              <w:rPr>
                <w:b/>
                <w:bCs/>
              </w:rPr>
              <w:t xml:space="preserve">&lt; .001</w:t>
            </w:r>
          </w:p>
        </w:tc>
        <w:tc>
          <w:tcPr/>
          <w:p>
            <w:pPr>
              <w:pStyle w:val="Compact"/>
            </w:pPr>
          </w:p>
        </w:tc>
        <w:tc>
          <w:tcPr/>
          <w:p>
            <w:pPr>
              <w:pStyle w:val="Compact"/>
            </w:pPr>
          </w:p>
        </w:tc>
      </w:tr>
    </w:tbl>
    <w:p>
      <w:pPr>
        <w:pStyle w:val="BodyText"/>
      </w:pPr>
      <w:r>
        <w:rPr>
          <w:i/>
          <w:iCs/>
        </w:rPr>
        <w:t xml:space="preserve">Note.</w:t>
      </w:r>
      <w:r>
        <w:t xml:space="preserve"> </w:t>
      </w:r>
      <w:r>
        <w:t xml:space="preserve">Logistic regression for binary active senior status (≥2 registered results in any year at age 20+). Predictors are observed during the baseline window (ages 13–14) only. Pre-milestone volume is the sum of distinct meets attended at ages 13 and 14. Continuous covariates are z-standardized so ORs reflect per-SD effects. Cross-validated AUC uses 5-fold stratified resampling. The pre-milestone volume coefficient is the dominant single-step gain (AUC 0.600 → 0.751). HHI becomes significant once volume is entered (mutual adjustment); the direction indicates that higher concentration in fewer event categories is associated with higher retention odds (see also Discussion 4.6).</w:t>
      </w:r>
    </w:p>
    <w:p>
      <w:r>
        <w:pict>
          <v:rect style="width:0;height:1.5pt" o:hralign="center" o:hrstd="t" o:hr="t"/>
        </w:pict>
      </w:r>
    </w:p>
    <w:bookmarkEnd w:id="52"/>
    <w:bookmarkStart w:id="53" w:name="X23b1f15ebb3a7f8f56f8cd097e9c0f697eb6923"/>
    <w:p>
      <w:pPr>
        <w:pStyle w:val="Heading2"/>
      </w:pPr>
      <w:r>
        <w:t xml:space="preserve">3.5 Structural controls do not change the picture</w:t>
      </w:r>
    </w:p>
    <w:p>
      <w:pPr>
        <w:pStyle w:val="FirstParagraph"/>
      </w:pPr>
      <w:r>
        <w:t xml:space="preserve">Adding region (3-level), birth-quarter (Q1/Q4 indicators), and standardized club-size to the full Table 3 model produced no material change in the volume coefficient (OR = 2.40 with controls vs. 2.40 without) and none of the structural covariates was significantly associated with retention (all p &gt; .14; Supplementary Table S13). Findings are robust to plausible structural confounders.</w:t>
      </w:r>
    </w:p>
    <w:bookmarkEnd w:id="53"/>
    <w:bookmarkStart w:id="54" w:name="X0bf9bcda651dcf6366690eb6a3e0036823f7e4f"/>
    <w:p>
      <w:pPr>
        <w:pStyle w:val="Heading2"/>
      </w:pPr>
      <w:r>
        <w:t xml:space="preserve">3.6 Progressive pull-back versus baseline heterogeneity</w:t>
      </w:r>
    </w:p>
    <w:p>
      <w:pPr>
        <w:pStyle w:val="FirstParagraph"/>
      </w:pPr>
      <w:r>
        <w:rPr>
          <w:b/>
          <w:bCs/>
        </w:rPr>
        <w:t xml:space="preserve">Both behavioral heterogeneity and within-athlete pull-back contribute independently — they are not substitutes.</w:t>
      </w:r>
      <w:r>
        <w:t xml:space="preserve"> </w:t>
      </w:r>
      <w:r>
        <w:t xml:space="preserve">The trajectories in Figure 2 are consistent with two interpretations: (i) future retainers and future dropouts represent distinct</w:t>
      </w:r>
      <w:r>
        <w:t xml:space="preserve"> </w:t>
      </w:r>
      <w:r>
        <w:rPr>
          <w:i/>
          <w:iCs/>
        </w:rPr>
        <w:t xml:space="preserve">behavioral typologies</w:t>
      </w:r>
      <w:r>
        <w:t xml:space="preserve"> </w:t>
      </w:r>
      <w:r>
        <w:t xml:space="preserve">visible already at ages 13–14, or (ii) future dropouts undergo a</w:t>
      </w:r>
      <w:r>
        <w:t xml:space="preserve"> </w:t>
      </w:r>
      <w:r>
        <w:rPr>
          <w:i/>
          <w:iCs/>
        </w:rPr>
        <w:t xml:space="preserve">within-athlete pull-back</w:t>
      </w:r>
      <w:r>
        <w:t xml:space="preserve"> </w:t>
      </w:r>
      <w:r>
        <w:t xml:space="preserve">between ages 14 and 15 that distinguishes them from athletes whose level is preserved. We tested both interpretations directly by entering baseline level (volume at age 14) and within-athlete change (volume at age 15 minus volume at age 14) into a logistic regression, restricted to athletes still active at age 14 (n = 1,914) to avoid pre-baseline dropout (Table 4).</w:t>
      </w:r>
    </w:p>
    <w:p>
      <w:pPr>
        <w:pStyle w:val="BodyText"/>
      </w:pPr>
      <w:r>
        <w:t xml:space="preserve">The age-14 volume level was strongly associated with retention (OR = 2.79 per SD, 95% CI [2.37, 3.28],</w:t>
      </w:r>
      <w:r>
        <w:t xml:space="preserve"> </w:t>
      </w:r>
      <w:r>
        <w:rPr>
          <w:i/>
          <w:iCs/>
        </w:rPr>
        <w:t xml:space="preserve">p</w:t>
      </w:r>
      <w:r>
        <w:t xml:space="preserve"> </w:t>
      </w:r>
      <w:r>
        <w:t xml:space="preserve">&lt; .001). The within-athlete change from age 14 to age 15 was</w:t>
      </w:r>
      <w:r>
        <w:t xml:space="preserve"> </w:t>
      </w:r>
      <w:r>
        <w:rPr>
          <w:i/>
          <w:iCs/>
        </w:rPr>
        <w:t xml:space="preserve">almost as strongly</w:t>
      </w:r>
      <w:r>
        <w:t xml:space="preserve"> </w:t>
      </w:r>
      <w:r>
        <w:t xml:space="preserve">associated (OR = 2.44 per SD, 95% CI [2.10, 2.83],</w:t>
      </w:r>
      <w:r>
        <w:t xml:space="preserve"> </w:t>
      </w:r>
      <w:r>
        <w:rPr>
          <w:i/>
          <w:iCs/>
        </w:rPr>
        <w:t xml:space="preserve">p</w:t>
      </w:r>
      <w:r>
        <w:t xml:space="preserve"> </w:t>
      </w:r>
      <w:r>
        <w:t xml:space="preserve">&lt; .001) — a one-SD greater decline was associated with 2.4-times</w:t>
      </w:r>
      <w:r>
        <w:t xml:space="preserve"> </w:t>
      </w:r>
      <w:r>
        <w:rPr>
          <w:i/>
          <w:iCs/>
        </w:rPr>
        <w:t xml:space="preserve">lower</w:t>
      </w:r>
      <w:r>
        <w:t xml:space="preserve"> </w:t>
      </w:r>
      <w:r>
        <w:t xml:space="preserve">retention odds. Adding change to the level-only model more than doubled pseudo-</w:t>
      </w:r>
      <w:r>
        <w:rPr>
          <w:i/>
          <w:iCs/>
        </w:rPr>
        <w:t xml:space="preserve">R</w:t>
      </w:r>
      <w:r>
        <w:t xml:space="preserve">² (0.113 → 0.227).</w:t>
      </w:r>
    </w:p>
    <w:bookmarkEnd w:id="54"/>
    <w:bookmarkStart w:id="55" w:name="Xead665dc21eb92f77ea82cce847e701a62b1bef"/>
    <w:p>
      <w:pPr>
        <w:pStyle w:val="Heading2"/>
      </w:pPr>
      <w:r>
        <w:t xml:space="preserve">Table 4. Pull-back versus baseline heterogeneity: volume level and within-athlete change</w:t>
      </w:r>
    </w:p>
    <w:p>
      <w:pPr>
        <w:pStyle w:val="FirstParagraph"/>
      </w:pPr>
      <w:r>
        <w:t xml:space="preserve">Athletes still active at age 14 (n = 1,914).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r>
      <w:tr>
        <w:tc>
          <w:tcPr/>
          <w:p>
            <w:pPr>
              <w:pStyle w:val="Compact"/>
            </w:pPr>
            <w:r>
              <w:t xml:space="preserve">M1: Volume at age 14 only</w:t>
            </w:r>
          </w:p>
        </w:tc>
        <w:tc>
          <w:tcPr/>
          <w:p>
            <w:pPr>
              <w:pStyle w:val="Compact"/>
            </w:pPr>
            <w:r>
              <w:t xml:space="preserve">Female</w:t>
            </w:r>
          </w:p>
        </w:tc>
        <w:tc>
          <w:tcPr/>
          <w:p>
            <w:pPr>
              <w:pStyle w:val="Compact"/>
            </w:pPr>
            <w:r>
              <w:t xml:space="preserve">0.61</w:t>
            </w:r>
          </w:p>
        </w:tc>
        <w:tc>
          <w:tcPr/>
          <w:p>
            <w:pPr>
              <w:pStyle w:val="Compact"/>
            </w:pPr>
            <w:r>
              <w:t xml:space="preserve">[0.46, 0.81]</w:t>
            </w:r>
          </w:p>
        </w:tc>
        <w:tc>
          <w:tcPr/>
          <w:p>
            <w:pPr>
              <w:pStyle w:val="Compact"/>
            </w:pPr>
            <w:r>
              <w:t xml:space="preserve">&lt; .001</w:t>
            </w:r>
          </w:p>
        </w:tc>
      </w:tr>
      <w:tr>
        <w:tc>
          <w:tcPr/>
          <w:p>
            <w:pPr>
              <w:pStyle w:val="Compact"/>
            </w:pPr>
          </w:p>
        </w:tc>
        <w:tc>
          <w:tcPr/>
          <w:p>
            <w:pPr>
              <w:pStyle w:val="Compact"/>
            </w:pPr>
            <w:r>
              <w:t xml:space="preserve">Tyrving (z)</w:t>
            </w:r>
          </w:p>
        </w:tc>
        <w:tc>
          <w:tcPr/>
          <w:p>
            <w:pPr>
              <w:pStyle w:val="Compact"/>
            </w:pPr>
            <w:r>
              <w:t xml:space="preserve">1.12</w:t>
            </w:r>
          </w:p>
        </w:tc>
        <w:tc>
          <w:tcPr/>
          <w:p>
            <w:pPr>
              <w:pStyle w:val="Compact"/>
            </w:pPr>
            <w:r>
              <w:t xml:space="preserve">[0.96, 1.30]</w:t>
            </w:r>
          </w:p>
        </w:tc>
        <w:tc>
          <w:tcPr/>
          <w:p>
            <w:pPr>
              <w:pStyle w:val="Compact"/>
            </w:pPr>
            <w:r>
              <w:t xml:space="preserve">.167</w:t>
            </w:r>
          </w:p>
        </w:tc>
      </w:tr>
      <w:tr>
        <w:tc>
          <w:tcPr/>
          <w:p>
            <w:pPr>
              <w:pStyle w:val="Compact"/>
            </w:pPr>
          </w:p>
        </w:tc>
        <w:tc>
          <w:tcPr/>
          <w:p>
            <w:pPr>
              <w:pStyle w:val="Compact"/>
            </w:pPr>
            <w:r>
              <w:rPr>
                <w:b/>
                <w:bCs/>
              </w:rPr>
              <w:t xml:space="preserve">Volume at age 14 (z)</w:t>
            </w:r>
          </w:p>
        </w:tc>
        <w:tc>
          <w:tcPr/>
          <w:p>
            <w:pPr>
              <w:pStyle w:val="Compact"/>
            </w:pPr>
            <w:r>
              <w:rPr>
                <w:b/>
                <w:bCs/>
              </w:rPr>
              <w:t xml:space="preserve">2.23</w:t>
            </w:r>
          </w:p>
        </w:tc>
        <w:tc>
          <w:tcPr/>
          <w:p>
            <w:pPr>
              <w:pStyle w:val="Compact"/>
            </w:pPr>
            <w:r>
              <w:rPr>
                <w:b/>
                <w:bCs/>
              </w:rPr>
              <w:t xml:space="preserve">[1.94, 2.57]</w:t>
            </w:r>
          </w:p>
        </w:tc>
        <w:tc>
          <w:tcPr/>
          <w:p>
            <w:pPr>
              <w:pStyle w:val="Compact"/>
            </w:pPr>
            <w:r>
              <w:rPr>
                <w:b/>
                <w:bCs/>
              </w:rPr>
              <w:t xml:space="preserve">&lt; .001</w:t>
            </w:r>
          </w:p>
        </w:tc>
      </w:tr>
      <w:tr>
        <w:tc>
          <w:tcPr/>
          <w:p>
            <w:pPr>
              <w:pStyle w:val="Compact"/>
            </w:pPr>
            <w:r>
              <w:t xml:space="preserve">M2: + Volume change 14→15</w:t>
            </w:r>
          </w:p>
        </w:tc>
        <w:tc>
          <w:tcPr/>
          <w:p>
            <w:pPr>
              <w:pStyle w:val="Compact"/>
            </w:pPr>
            <w:r>
              <w:t xml:space="preserve">Female</w:t>
            </w:r>
          </w:p>
        </w:tc>
        <w:tc>
          <w:tcPr/>
          <w:p>
            <w:pPr>
              <w:pStyle w:val="Compact"/>
            </w:pPr>
            <w:r>
              <w:t xml:space="preserve">0.60</w:t>
            </w:r>
          </w:p>
        </w:tc>
        <w:tc>
          <w:tcPr/>
          <w:p>
            <w:pPr>
              <w:pStyle w:val="Compact"/>
            </w:pPr>
            <w:r>
              <w:t xml:space="preserve">[0.44, 0.81]</w:t>
            </w:r>
          </w:p>
        </w:tc>
        <w:tc>
          <w:tcPr/>
          <w:p>
            <w:pPr>
              <w:pStyle w:val="Compact"/>
            </w:pPr>
            <w:r>
              <w:t xml:space="preserve">&lt; .001</w:t>
            </w:r>
          </w:p>
        </w:tc>
      </w:tr>
      <w:tr>
        <w:tc>
          <w:tcPr/>
          <w:p>
            <w:pPr>
              <w:pStyle w:val="Compact"/>
            </w:pPr>
          </w:p>
        </w:tc>
        <w:tc>
          <w:tcPr/>
          <w:p>
            <w:pPr>
              <w:pStyle w:val="Compact"/>
            </w:pPr>
            <w:r>
              <w:t xml:space="preserve">Tyrving (z)</w:t>
            </w:r>
          </w:p>
        </w:tc>
        <w:tc>
          <w:tcPr/>
          <w:p>
            <w:pPr>
              <w:pStyle w:val="Compact"/>
            </w:pPr>
            <w:r>
              <w:t xml:space="preserve">1.01</w:t>
            </w:r>
          </w:p>
        </w:tc>
        <w:tc>
          <w:tcPr/>
          <w:p>
            <w:pPr>
              <w:pStyle w:val="Compact"/>
            </w:pPr>
            <w:r>
              <w:t xml:space="preserve">[0.86, 1.19]</w:t>
            </w:r>
          </w:p>
        </w:tc>
        <w:tc>
          <w:tcPr/>
          <w:p>
            <w:pPr>
              <w:pStyle w:val="Compact"/>
            </w:pPr>
            <w:r>
              <w:t xml:space="preserve">.882</w:t>
            </w:r>
          </w:p>
        </w:tc>
      </w:tr>
      <w:tr>
        <w:tc>
          <w:tcPr/>
          <w:p>
            <w:pPr>
              <w:pStyle w:val="Compact"/>
            </w:pPr>
          </w:p>
        </w:tc>
        <w:tc>
          <w:tcPr/>
          <w:p>
            <w:pPr>
              <w:pStyle w:val="Compact"/>
            </w:pPr>
            <w:r>
              <w:rPr>
                <w:b/>
                <w:bCs/>
              </w:rPr>
              <w:t xml:space="preserve">Volume at age 14 (z)</w:t>
            </w:r>
          </w:p>
        </w:tc>
        <w:tc>
          <w:tcPr/>
          <w:p>
            <w:pPr>
              <w:pStyle w:val="Compact"/>
            </w:pPr>
            <w:r>
              <w:rPr>
                <w:b/>
                <w:bCs/>
              </w:rPr>
              <w:t xml:space="preserve">2.79</w:t>
            </w:r>
          </w:p>
        </w:tc>
        <w:tc>
          <w:tcPr/>
          <w:p>
            <w:pPr>
              <w:pStyle w:val="Compact"/>
            </w:pPr>
            <w:r>
              <w:rPr>
                <w:b/>
                <w:bCs/>
              </w:rPr>
              <w:t xml:space="preserve">[2.37, 3.28]</w:t>
            </w:r>
          </w:p>
        </w:tc>
        <w:tc>
          <w:tcPr/>
          <w:p>
            <w:pPr>
              <w:pStyle w:val="Compact"/>
            </w:pPr>
            <w:r>
              <w:rPr>
                <w:b/>
                <w:bCs/>
              </w:rPr>
              <w:t xml:space="preserve">&lt; .001</w:t>
            </w:r>
          </w:p>
        </w:tc>
      </w:tr>
      <w:tr>
        <w:tc>
          <w:tcPr/>
          <w:p>
            <w:pPr>
              <w:pStyle w:val="Compact"/>
            </w:pPr>
          </w:p>
        </w:tc>
        <w:tc>
          <w:tcPr/>
          <w:p>
            <w:pPr>
              <w:pStyle w:val="Compact"/>
            </w:pPr>
            <w:r>
              <w:rPr>
                <w:b/>
                <w:bCs/>
              </w:rPr>
              <w:t xml:space="preserve">Volume change 14→15 (z)</w:t>
            </w:r>
          </w:p>
        </w:tc>
        <w:tc>
          <w:tcPr/>
          <w:p>
            <w:pPr>
              <w:pStyle w:val="Compact"/>
            </w:pPr>
            <w:r>
              <w:rPr>
                <w:b/>
                <w:bCs/>
              </w:rPr>
              <w:t xml:space="preserve">2.44</w:t>
            </w:r>
          </w:p>
        </w:tc>
        <w:tc>
          <w:tcPr/>
          <w:p>
            <w:pPr>
              <w:pStyle w:val="Compact"/>
            </w:pPr>
            <w:r>
              <w:rPr>
                <w:b/>
                <w:bCs/>
              </w:rPr>
              <w:t xml:space="preserve">[2.10, 2.83]</w:t>
            </w:r>
          </w:p>
        </w:tc>
        <w:tc>
          <w:tcPr/>
          <w:p>
            <w:pPr>
              <w:pStyle w:val="Compact"/>
            </w:pPr>
            <w:r>
              <w:rPr>
                <w:b/>
                <w:bCs/>
              </w:rPr>
              <w:t xml:space="preserve">&lt; .001</w:t>
            </w:r>
          </w:p>
        </w:tc>
      </w:tr>
    </w:tbl>
    <w:p>
      <w:pPr>
        <w:pStyle w:val="BodyText"/>
      </w:pPr>
      <w:r>
        <w:rPr>
          <w:i/>
          <w:iCs/>
        </w:rPr>
        <w:t xml:space="preserve">Note.</w:t>
      </w:r>
      <w:r>
        <w:t xml:space="preserve"> </w:t>
      </w:r>
      <w:r>
        <w:t xml:space="preserve">Pseudo-</w:t>
      </w:r>
      <w:r>
        <w:rPr>
          <w:i/>
          <w:iCs/>
        </w:rPr>
        <w:t xml:space="preserve">R</w:t>
      </w:r>
      <w:r>
        <w:t xml:space="preserve">² rose from 0.113 (M1) to 0.227 (M2) — within-athlete change adds substantial information conditional on baseline level. A one-SD greater decline from age 14 to age 15 was associated with 2.4-times lower retention odds, conditional on level at age 14. Both baseline level and within-athlete pull-back contribute substantially and independently.</w:t>
      </w:r>
    </w:p>
    <w:p>
      <w:r>
        <w:pict>
          <v:rect style="width:0;height:1.5pt" o:hralign="center" o:hrstd="t" o:hr="t"/>
        </w:pict>
      </w:r>
    </w:p>
    <w:bookmarkEnd w:id="55"/>
    <w:bookmarkStart w:id="56" w:name="time-aligned-behavior-vs.-performance"/>
    <w:p>
      <w:pPr>
        <w:pStyle w:val="Heading2"/>
      </w:pPr>
      <w:r>
        <w:t xml:space="preserve">3.7 Time-aligned behavior vs. performance</w:t>
      </w:r>
    </w:p>
    <w:p>
      <w:pPr>
        <w:pStyle w:val="FirstParagraph"/>
      </w:pPr>
      <w:r>
        <w:t xml:space="preserve">A concern with earlier framings was that post-baseline volume (ages 15–16) versus baseline performance (ages 13–14) gave the behavioral predictor a temporal advantage. In a fully time-aligned comparison — both measured at ages 13–14 — behavior still provides stronger discrimination: AUC = 0.607 for sex + baseline Tyrving, 0.740 for sex + ages-13–14 volume, 0.737 for both combined (Supplementary Table S15). Performance adds little once early volume is known.</w:t>
      </w:r>
    </w:p>
    <w:bookmarkEnd w:id="56"/>
    <w:bookmarkStart w:id="57" w:name="X5edab9ffdb59cfb1a6c0e842c5a243c15ec97ab"/>
    <w:p>
      <w:pPr>
        <w:pStyle w:val="Heading2"/>
      </w:pPr>
      <w:r>
        <w:t xml:space="preserve">3.8 Landmark analysis: post-baseline behavior among continuing athletes</w:t>
      </w:r>
    </w:p>
    <w:p>
      <w:pPr>
        <w:pStyle w:val="FirstParagraph"/>
      </w:pPr>
      <w:r>
        <w:t xml:space="preserve">For</w:t>
      </w:r>
      <w:r>
        <w:t xml:space="preserve"> </w:t>
      </w:r>
      <w:r>
        <w:t xml:space="preserve">“given that an athlete is active at age 16, what predicts subsequent retention?”</w:t>
      </w:r>
      <w:r>
        <w:t xml:space="preserve">, we re-fit the full Cox model in athletes with ≥1 result at age 16 (n = 1,167), with follow-up from age 16 forward (Supplementary Table S8). Volume across ages 15–16 was the largest contributor (HR = 0.60 per SD, 95% CI [0.54, 0.66], C-index = 0.74). Excluding athletes with milestone volume = 0 produced HR = 0.51 (Supplementary Table S11). The baseline-only Cox model is in Supplementary Table S16; a period-specific decomposition is in Table 5. We do not use the baseline-start Cox model with post-baseline covariates as a primary estimate because predictor and at-risk window overlap.</w:t>
      </w:r>
    </w:p>
    <w:bookmarkEnd w:id="57"/>
    <w:bookmarkStart w:id="58" w:name="prospective-early-warning-thresholds"/>
    <w:p>
      <w:pPr>
        <w:pStyle w:val="Heading2"/>
      </w:pPr>
      <w:r>
        <w:t xml:space="preserve">3.9 Prospective early-warning thresholds</w:t>
      </w:r>
    </w:p>
    <w:p>
      <w:pPr>
        <w:pStyle w:val="FirstParagraph"/>
      </w:pPr>
      <w:r>
        <w:t xml:space="preserve">Because the primary analysis uses only baseline-window data, we can compute calibration metrics for a prospective rule applied at the end of the age-14 season (Table 6). At a moderate threshold (vol &lt; 10 meets across ages 13–14, flagging 26.4%), PPV = 0.94 (94% of flagged athletes failed to retain) and sensitivity = 0.30. Lower thresholds (&lt; 5 meets) suit targeted outreach (9% flagged, PPV 0.93); higher thresholds (&lt; 15) broaden the screen (43% flagged, PPV 0.93). The high PPV partly reflects the 84% non-retention base rate; the behavioral threshold improves precision by ~10 points over base-rate prediction while providing graduated sensitivity that base-rate prediction cannot.</w:t>
      </w:r>
    </w:p>
    <w:bookmarkEnd w:id="58"/>
    <w:bookmarkStart w:id="59" w:name="Xb1aa18e3395192ff7ac564cba097915b7cb4ac8"/>
    <w:p>
      <w:pPr>
        <w:pStyle w:val="Heading2"/>
      </w:pPr>
      <w:r>
        <w:t xml:space="preserve">Table 6. Prospective early-warning thresholds (pre-milestone volume, ages 13–14)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Threshold (athletes flagged if vol &lt; )</w:t>
            </w:r>
          </w:p>
        </w:tc>
        <w:tc>
          <w:tcPr/>
          <w:p>
            <w:pPr>
              <w:pStyle w:val="Compact"/>
            </w:pPr>
            <w:r>
              <w:t xml:space="preserve">Flagged %</w:t>
            </w:r>
          </w:p>
        </w:tc>
        <w:tc>
          <w:tcPr/>
          <w:p>
            <w:pPr>
              <w:pStyle w:val="Compact"/>
            </w:pPr>
            <w:r>
              <w:t xml:space="preserve">Sensitivity</w:t>
            </w:r>
          </w:p>
        </w:tc>
        <w:tc>
          <w:tcPr/>
          <w:p>
            <w:pPr>
              <w:pStyle w:val="Compact"/>
            </w:pPr>
            <w:r>
              <w:t xml:space="preserve">Specificity</w:t>
            </w:r>
          </w:p>
        </w:tc>
        <w:tc>
          <w:tcPr/>
          <w:p>
            <w:pPr>
              <w:pStyle w:val="Compact"/>
            </w:pPr>
            <w:r>
              <w:t xml:space="preserve">PPV</w:t>
            </w:r>
          </w:p>
        </w:tc>
        <w:tc>
          <w:tcPr/>
          <w:p>
            <w:pPr>
              <w:pStyle w:val="Compact"/>
            </w:pPr>
            <w:r>
              <w:t xml:space="preserve">NPV</w:t>
            </w:r>
          </w:p>
        </w:tc>
      </w:tr>
      <w:tr>
        <w:tc>
          <w:tcPr/>
          <w:p>
            <w:pPr>
              <w:pStyle w:val="Compact"/>
            </w:pPr>
            <w:r>
              <w:t xml:space="preserve">3 meets</w:t>
            </w:r>
          </w:p>
        </w:tc>
        <w:tc>
          <w:tcPr/>
          <w:p>
            <w:pPr>
              <w:pStyle w:val="Compact"/>
            </w:pPr>
            <w:r>
              <w:t xml:space="preserve">2.3</w:t>
            </w:r>
          </w:p>
        </w:tc>
        <w:tc>
          <w:tcPr/>
          <w:p>
            <w:pPr>
              <w:pStyle w:val="Compact"/>
            </w:pPr>
            <w:r>
              <w:t xml:space="preserve">0.03</w:t>
            </w:r>
          </w:p>
        </w:tc>
        <w:tc>
          <w:tcPr/>
          <w:p>
            <w:pPr>
              <w:pStyle w:val="Compact"/>
            </w:pPr>
            <w:r>
              <w:t xml:space="preserve">1.00</w:t>
            </w:r>
          </w:p>
        </w:tc>
        <w:tc>
          <w:tcPr/>
          <w:p>
            <w:pPr>
              <w:pStyle w:val="Compact"/>
            </w:pPr>
            <w:r>
              <w:rPr>
                <w:b/>
                <w:bCs/>
              </w:rPr>
              <w:t xml:space="preserve">0.96</w:t>
            </w:r>
          </w:p>
        </w:tc>
        <w:tc>
          <w:tcPr/>
          <w:p>
            <w:pPr>
              <w:pStyle w:val="Compact"/>
            </w:pPr>
            <w:r>
              <w:t xml:space="preserve">0.17</w:t>
            </w:r>
          </w:p>
        </w:tc>
      </w:tr>
      <w:tr>
        <w:tc>
          <w:tcPr/>
          <w:p>
            <w:pPr>
              <w:pStyle w:val="Compact"/>
            </w:pPr>
            <w:r>
              <w:t xml:space="preserve">5 meets</w:t>
            </w:r>
          </w:p>
        </w:tc>
        <w:tc>
          <w:tcPr/>
          <w:p>
            <w:pPr>
              <w:pStyle w:val="Compact"/>
            </w:pPr>
            <w:r>
              <w:t xml:space="preserve">9.3</w:t>
            </w:r>
          </w:p>
        </w:tc>
        <w:tc>
          <w:tcPr/>
          <w:p>
            <w:pPr>
              <w:pStyle w:val="Compact"/>
            </w:pPr>
            <w:r>
              <w:t xml:space="preserve">0.10</w:t>
            </w:r>
          </w:p>
        </w:tc>
        <w:tc>
          <w:tcPr/>
          <w:p>
            <w:pPr>
              <w:pStyle w:val="Compact"/>
            </w:pPr>
            <w:r>
              <w:t xml:space="preserve">0.97</w:t>
            </w:r>
          </w:p>
        </w:tc>
        <w:tc>
          <w:tcPr/>
          <w:p>
            <w:pPr>
              <w:pStyle w:val="Compact"/>
            </w:pPr>
            <w:r>
              <w:rPr>
                <w:b/>
                <w:bCs/>
              </w:rPr>
              <w:t xml:space="preserve">0.93</w:t>
            </w:r>
          </w:p>
        </w:tc>
        <w:tc>
          <w:tcPr/>
          <w:p>
            <w:pPr>
              <w:pStyle w:val="Compact"/>
            </w:pPr>
            <w:r>
              <w:t xml:space="preserve">0.18</w:t>
            </w:r>
          </w:p>
        </w:tc>
      </w:tr>
      <w:tr>
        <w:tc>
          <w:tcPr/>
          <w:p>
            <w:pPr>
              <w:pStyle w:val="Compact"/>
            </w:pPr>
            <w:r>
              <w:t xml:space="preserve">8 meets</w:t>
            </w:r>
          </w:p>
        </w:tc>
        <w:tc>
          <w:tcPr/>
          <w:p>
            <w:pPr>
              <w:pStyle w:val="Compact"/>
            </w:pPr>
            <w:r>
              <w:t xml:space="preserve">19.8</w:t>
            </w:r>
          </w:p>
        </w:tc>
        <w:tc>
          <w:tcPr/>
          <w:p>
            <w:pPr>
              <w:pStyle w:val="Compact"/>
            </w:pPr>
            <w:r>
              <w:t xml:space="preserve">0.22</w:t>
            </w:r>
          </w:p>
        </w:tc>
        <w:tc>
          <w:tcPr/>
          <w:p>
            <w:pPr>
              <w:pStyle w:val="Compact"/>
            </w:pPr>
            <w:r>
              <w:t xml:space="preserve">0.94</w:t>
            </w:r>
          </w:p>
        </w:tc>
        <w:tc>
          <w:tcPr/>
          <w:p>
            <w:pPr>
              <w:pStyle w:val="Compact"/>
            </w:pPr>
            <w:r>
              <w:rPr>
                <w:b/>
                <w:bCs/>
              </w:rPr>
              <w:t xml:space="preserve">0.94</w:t>
            </w:r>
          </w:p>
        </w:tc>
        <w:tc>
          <w:tcPr/>
          <w:p>
            <w:pPr>
              <w:pStyle w:val="Compact"/>
            </w:pPr>
            <w:r>
              <w:t xml:space="preserve">0.20</w:t>
            </w:r>
          </w:p>
        </w:tc>
      </w:tr>
      <w:tr>
        <w:tc>
          <w:tcPr/>
          <w:p>
            <w:pPr>
              <w:pStyle w:val="Compact"/>
            </w:pPr>
            <w:r>
              <w:t xml:space="preserve">10 meets</w:t>
            </w:r>
          </w:p>
        </w:tc>
        <w:tc>
          <w:tcPr/>
          <w:p>
            <w:pPr>
              <w:pStyle w:val="Compact"/>
            </w:pPr>
            <w:r>
              <w:t xml:space="preserve">26.4</w:t>
            </w:r>
          </w:p>
        </w:tc>
        <w:tc>
          <w:tcPr/>
          <w:p>
            <w:pPr>
              <w:pStyle w:val="Compact"/>
            </w:pPr>
            <w:r>
              <w:t xml:space="preserve">0.30</w:t>
            </w:r>
          </w:p>
        </w:tc>
        <w:tc>
          <w:tcPr/>
          <w:p>
            <w:pPr>
              <w:pStyle w:val="Compact"/>
            </w:pPr>
            <w:r>
              <w:t xml:space="preserve">0.92</w:t>
            </w:r>
          </w:p>
        </w:tc>
        <w:tc>
          <w:tcPr/>
          <w:p>
            <w:pPr>
              <w:pStyle w:val="Compact"/>
            </w:pPr>
            <w:r>
              <w:rPr>
                <w:b/>
                <w:bCs/>
              </w:rPr>
              <w:t xml:space="preserve">0.94</w:t>
            </w:r>
          </w:p>
        </w:tc>
        <w:tc>
          <w:tcPr/>
          <w:p>
            <w:pPr>
              <w:pStyle w:val="Compact"/>
            </w:pPr>
            <w:r>
              <w:t xml:space="preserve">0.22</w:t>
            </w:r>
          </w:p>
        </w:tc>
      </w:tr>
      <w:tr>
        <w:tc>
          <w:tcPr/>
          <w:p>
            <w:pPr>
              <w:pStyle w:val="Compact"/>
            </w:pPr>
            <w:r>
              <w:t xml:space="preserve">15 meets</w:t>
            </w:r>
          </w:p>
        </w:tc>
        <w:tc>
          <w:tcPr/>
          <w:p>
            <w:pPr>
              <w:pStyle w:val="Compact"/>
            </w:pPr>
            <w:r>
              <w:t xml:space="preserve">43.1</w:t>
            </w:r>
          </w:p>
        </w:tc>
        <w:tc>
          <w:tcPr/>
          <w:p>
            <w:pPr>
              <w:pStyle w:val="Compact"/>
            </w:pPr>
            <w:r>
              <w:t xml:space="preserve">0.48</w:t>
            </w:r>
          </w:p>
        </w:tc>
        <w:tc>
          <w:tcPr/>
          <w:p>
            <w:pPr>
              <w:pStyle w:val="Compact"/>
            </w:pPr>
            <w:r>
              <w:t xml:space="preserve">0.84</w:t>
            </w:r>
          </w:p>
        </w:tc>
        <w:tc>
          <w:tcPr/>
          <w:p>
            <w:pPr>
              <w:pStyle w:val="Compact"/>
            </w:pPr>
            <w:r>
              <w:rPr>
                <w:b/>
                <w:bCs/>
              </w:rPr>
              <w:t xml:space="preserve">0.93</w:t>
            </w:r>
          </w:p>
        </w:tc>
        <w:tc>
          <w:tcPr/>
          <w:p>
            <w:pPr>
              <w:pStyle w:val="Compact"/>
            </w:pPr>
            <w:r>
              <w:t xml:space="preserve">0.25</w:t>
            </w:r>
          </w:p>
        </w:tc>
      </w:tr>
    </w:tbl>
    <w:p>
      <w:pPr>
        <w:pStyle w:val="BodyText"/>
      </w:pPr>
      <w:r>
        <w:rPr>
          <w:i/>
          <w:iCs/>
        </w:rPr>
        <w:t xml:space="preserve">Note.</w:t>
      </w:r>
      <w:r>
        <w:t xml:space="preserve"> </w:t>
      </w:r>
      <w:r>
        <w:t xml:space="preserve">Calibration of pre-milestone (ages 13–14) competition volume as a prospective early-warning indicator, applicable at the end of an athlete’s age-14 season — before the qualification window opens. PPV is the proportion of flagged athletes who subsequently failed to retain senior activity. PPV remains ≥ 0.93 across thresholds; the choice trades sensitivity for cohort coverage. The high PPV partly reflects the population’s high base-rate of non-retention (84%); the behavioral threshold improves precision by 9–12 percentage points over base-rate prediction while providing graduated sensitivity that base-rate prediction does not.</w:t>
      </w:r>
    </w:p>
    <w:p>
      <w:r>
        <w:pict>
          <v:rect style="width:0;height:1.5pt" o:hralign="center" o:hrstd="t" o:hr="t"/>
        </w:pict>
      </w:r>
    </w:p>
    <w:bookmarkEnd w:id="59"/>
    <w:bookmarkStart w:id="60" w:name="specialization-is-protective-in-our-data"/>
    <w:p>
      <w:pPr>
        <w:pStyle w:val="Heading2"/>
      </w:pPr>
      <w:r>
        <w:t xml:space="preserve">3.10 Specialization is protective in our data</w:t>
      </w:r>
    </w:p>
    <w:p>
      <w:pPr>
        <w:pStyle w:val="FirstParagraph"/>
      </w:pPr>
      <w:r>
        <w:t xml:space="preserve">Higher baseline HHI (more event-category concentration) predicted</w:t>
      </w:r>
      <w:r>
        <w:t xml:space="preserve"> </w:t>
      </w:r>
      <w:r>
        <w:rPr>
          <w:i/>
          <w:iCs/>
        </w:rPr>
        <w:t xml:space="preserve">higher</w:t>
      </w:r>
      <w:r>
        <w:t xml:space="preserve"> </w:t>
      </w:r>
      <w:r>
        <w:t xml:space="preserve">senior retention: OR = 1.35 per SD (95% CI [1.16, 1.57],</w:t>
      </w:r>
      <w:r>
        <w:t xml:space="preserve"> </w:t>
      </w:r>
      <w:r>
        <w:rPr>
          <w:i/>
          <w:iCs/>
        </w:rPr>
        <w:t xml:space="preserve">p</w:t>
      </w:r>
      <w:r>
        <w:t xml:space="preserve"> </w:t>
      </w:r>
      <w:r>
        <w:t xml:space="preserve">&lt; .001) in the primary logistic regression; HR = 0.80 in the Cox model (Supplementary Table S16). The effect was present in both cohorts (A OR = 1.24, B OR = 1.58). Athletes whose ages-13–14 results were more concentrated in fewer event categories were</w:t>
      </w:r>
      <w:r>
        <w:t xml:space="preserve"> </w:t>
      </w:r>
      <w:r>
        <w:rPr>
          <w:i/>
          <w:iCs/>
        </w:rPr>
        <w:t xml:space="preserve">more</w:t>
      </w:r>
      <w:r>
        <w:t xml:space="preserve"> </w:t>
      </w:r>
      <w:r>
        <w:t xml:space="preserve">likely to retain — contrary to the international diversification literature for</w:t>
      </w:r>
      <w:r>
        <w:t xml:space="preserve"> </w:t>
      </w:r>
      <w:r>
        <w:rPr>
          <w:i/>
          <w:iCs/>
        </w:rPr>
        <w:t xml:space="preserve">peak performance</w:t>
      </w:r>
      <w:r>
        <w:t xml:space="preserve"> </w:t>
      </w:r>
      <w:r>
        <w:t xml:space="preserve">(Côté &amp; Hancock, 2016; Güllich et al., 2022); we discuss possible reasons in §4.6.</w:t>
      </w:r>
    </w:p>
    <w:bookmarkEnd w:id="60"/>
    <w:bookmarkStart w:id="61" w:name="cross-cohort-replication-and-sensitivity"/>
    <w:p>
      <w:pPr>
        <w:pStyle w:val="Heading2"/>
      </w:pPr>
      <w:r>
        <w:t xml:space="preserve">3.11 Cross-cohort replication and sensitivity</w:t>
      </w:r>
    </w:p>
    <w:p>
      <w:pPr>
        <w:pStyle w:val="FirstParagraph"/>
      </w:pPr>
      <w:r>
        <w:t xml:space="preserve">The primary regression was re-estimated by cohort. The pre-milestone volume effect replicated: Cohort A OR = 2.22 (95% CI [1.86, 2.64]); Cohort B OR = 2.79 [2.17, 3.58]; both</w:t>
      </w:r>
      <w:r>
        <w:t xml:space="preserve"> </w:t>
      </w:r>
      <w:r>
        <w:rPr>
          <w:i/>
          <w:iCs/>
        </w:rPr>
        <w:t xml:space="preserve">p</w:t>
      </w:r>
      <w:r>
        <w:t xml:space="preserve"> </w:t>
      </w:r>
      <w:r>
        <w:t xml:space="preserve">&lt; .001 (Table 7). Sex was significant in Cohort A but not B, as previously reported. The volume effect was robust to outcome-definition sensitivity (ORs 2.79, 3.08, 2.94 for outcomes ≥1, ≥2, ≥2-in-two-years; Supplementary Table S9), to cluster-robust SEs (Supplementary Table S2), and to E-value sensitivity (E-value = 5.16, lower-CI E-value = 4.70 for the milestone-window volume effect in the secondary Cox specification; Supplementary Table S3): an unmeasured confounder would need risk-ratio associations exceeding 5 with both predictor and outcome to nullify the effect — well above any observed covariate.</w:t>
      </w:r>
    </w:p>
    <w:p>
      <w:pPr>
        <w:pStyle w:val="BodyText"/>
      </w:pPr>
      <w:r>
        <w:t xml:space="preserve">In summary: across two cohorts, baseline-window competition volume provided the largest incremental contribution to prospective discrimination (OR 2.40 per SD, AUC 0.751); the effect is robust to structural controls, outcome definition, clustering, missing-data treatment, and model specification. Both early behavioral heterogeneity and within-athlete pull-back contribute independently. Higher baseline specialization predicted higher retention, contrasting with the diversification literature for elite peak performance.</w:t>
      </w:r>
    </w:p>
    <w:p>
      <w:r>
        <w:pict>
          <v:rect style="width:0;height:1.5pt" o:hralign="center" o:hrstd="t" o:hr="t"/>
        </w:pict>
      </w:r>
    </w:p>
    <w:bookmarkEnd w:id="61"/>
    <w:bookmarkStart w:id="62" w:name="discussion"/>
    <w:p>
      <w:pPr>
        <w:pStyle w:val="Heading2"/>
      </w:pPr>
      <w:r>
        <w:t xml:space="preserve">4. Discussion</w:t>
      </w:r>
    </w:p>
    <w:bookmarkEnd w:id="62"/>
    <w:bookmarkStart w:id="63" w:name="summary-of-findings"/>
    <w:p>
      <w:pPr>
        <w:pStyle w:val="Heading2"/>
      </w:pPr>
      <w:r>
        <w:t xml:space="preserve">4.1 Summary of findings</w:t>
      </w:r>
    </w:p>
    <w:p>
      <w:pPr>
        <w:pStyle w:val="FirstParagraph"/>
      </w:pPr>
      <w:r>
        <w:t xml:space="preserve">From this 14-year follow-up of 2,123 young athletes, four major findings emerge. Firstly, the volume of competitions during the baseline window (ages 13–14) had a strong prospective relationship with retaining senior competition (OR = 2.40 per SD; cross-validated AUC = 0.751). Secondly, the impact of competition volume on retention was consistent across both birth cohorts and resilient to the inclusion of region, birth quarter, and club size as structural covariates. Thirdly, there were two distinct contributions to the loss of senior competition activity: early behavioral heterogeneity (the odds of retention increased 2.79-fold per SD of age-14 volume) and within-athlete pull-back (a one-SD greater decline in competition volume from age 14 to 15 was associated with 2.44-times lower retention odds), with pseudo-</w:t>
      </w:r>
      <w:r>
        <w:rPr>
          <w:i/>
          <w:iCs/>
        </w:rPr>
        <w:t xml:space="preserve">R</w:t>
      </w:r>
      <w:r>
        <w:t xml:space="preserve">² increasing to 0.23 compared to 0.11 when just the level was used (Section 3.6). Fourthly, higher baseline specialization (measured as the Herfindahl-Hirschman Index) was associated with a higher likelihood of retaining senior competition — contrary to the established findings that suggest a diversified range of disciplines improves the chances of achieving elite performance (Güllich et al., 2022; Wall &amp; Côté, 2007).</w:t>
      </w:r>
    </w:p>
    <w:p>
      <w:pPr>
        <w:pStyle w:val="BodyText"/>
      </w:pPr>
      <w:r>
        <w:t xml:space="preserve">Cox time-to-cessation analyses (Supplementary Tables S8, S16; Table 5) reinforce these findings: among athletes still active at age 16, milestone-window volume remained strongly associated with subsequent cessation (HR = 0.60 per SD), most pronounced in proximal follow-up (HR = 0.14 in years 0–3).</w:t>
      </w:r>
    </w:p>
    <w:bookmarkEnd w:id="63"/>
    <w:bookmarkStart w:id="64" w:name="Xbd536bf1af5d6a7219c3b776e0edb8da369758d"/>
    <w:p>
      <w:pPr>
        <w:pStyle w:val="Heading2"/>
      </w:pPr>
      <w:r>
        <w:t xml:space="preserve">4.2 Behavior explains more variance in retention than performance — even when performance is measured at the same point in time as behavior</w:t>
      </w:r>
    </w:p>
    <w:p>
      <w:pPr>
        <w:pStyle w:val="FirstParagraph"/>
      </w:pPr>
      <w:r>
        <w:t xml:space="preserve">Behavior (number of competitions entered) explained more variance in the retention of senior competition than performance (Tyrving score) even when both variables were measured at the same point in time (Section 3.7; Supplementary Table S15). Sex + Tyrving yielded AUC = 0.607; sex + pre-milestone volume yielded AUC = 0.740; and sex + Tyrving + pre-milestone volume yielded AUC = 0.737. Adding Tyrving to (sex + volume) added virtually nothing to explaining variance in retention, while adding volume to (sex + Tyrving) raised AUC substantially. This result is interpreted as follows: while performance scores reflect the capabilities of athletes, competition volumes reflect the choices made by athletes regarding how much effort they wish to expend on developing their skills — and these choices appear more important in predicting the disengagement of athletes from their sport than their capabilities.</w:t>
      </w:r>
    </w:p>
    <w:p>
      <w:pPr>
        <w:pStyle w:val="BodyText"/>
      </w:pPr>
      <w:r>
        <w:t xml:space="preserve">It is acknowledged that there may be an epistemic asymmetry between the predictors and the outcome measures used. The predictor (competition volume) and the outcome (dropout) both refer to registered competitive activity. Therefore,</w:t>
      </w:r>
      <w:r>
        <w:t xml:space="preserve"> </w:t>
      </w:r>
      <w:r>
        <w:t xml:space="preserve">“behavior outperforms performance”</w:t>
      </w:r>
      <w:r>
        <w:t xml:space="preserve"> </w:t>
      </w:r>
      <w:r>
        <w:t xml:space="preserve">refers to the temporal structure by which disengagement can become observable, not a causal mechanism. However, the results presented are consistent with an engagement-balance mechanism but do not establish it on their own.</w:t>
      </w:r>
    </w:p>
    <w:bookmarkEnd w:id="64"/>
    <w:bookmarkStart w:id="65" w:name="Xe7fe343f385dc5d6988eaaeccab4c5e6fe92698"/>
    <w:p>
      <w:pPr>
        <w:pStyle w:val="Heading2"/>
      </w:pPr>
      <w:r>
        <w:t xml:space="preserve">4.3 There exists a pull-back effect — and also an early heterogeneity effect</w:t>
      </w:r>
    </w:p>
    <w:p>
      <w:pPr>
        <w:pStyle w:val="FirstParagraph"/>
      </w:pPr>
      <w:r>
        <w:t xml:space="preserve">A logical question arises regarding whether the main effect observed represents (a) a genuine within-athlete pull-back effect from a common initial condition, or (b) early differentiation between athletes who have followed different trajectories. The descriptive evidence (Figure 2, Table 2) provides some insight into this issue: at ages 13–14, the median number of meets attended by future retainers and dropouts differed (13/17 vs. 8/8 respectively); however, the greatest divergence occurred at ages 14–15.</w:t>
      </w:r>
    </w:p>
    <w:p>
      <w:pPr>
        <w:pStyle w:val="BodyText"/>
      </w:pPr>
      <w:r>
        <w:t xml:space="preserve">A further analysis resolves this ambiguity. The level-and-change approach described in Section 3.6 shows that both effects exist and are statistically significant. Conditional upon level (OR = 2.79) at age 14, a greater decline in meets attended at ages 14–15 was associated with a significantly lower probability of retention (OR = 2.44), and pseudo-</w:t>
      </w:r>
      <w:r>
        <w:rPr>
          <w:i/>
          <w:iCs/>
        </w:rPr>
        <w:t xml:space="preserve">R</w:t>
      </w:r>
      <w:r>
        <w:t xml:space="preserve">² increased significantly (from 0.11 to 0.23) when considering both level and change together. Thus, a non-negligible proportion of the dropout signal represents early behavioral heterogeneity (Wall &amp; Côté, 2007) visible at ages 13–14; another equally substantial proportion represents a within-athlete pull-back among the not-yet-dropped-out, as evidenced by declining volume in the year immediately preceding formal departure from the sport.</w:t>
      </w:r>
    </w:p>
    <w:bookmarkEnd w:id="65"/>
    <w:bookmarkStart w:id="66" w:name="X2bdba6eaead9bf1fc629cfbac09a49f14a33f25"/>
    <w:p>
      <w:pPr>
        <w:pStyle w:val="Heading2"/>
      </w:pPr>
      <w:r>
        <w:t xml:space="preserve">4.4 Consistent with three theoretically supported models</w:t>
      </w:r>
    </w:p>
    <w:p>
      <w:pPr>
        <w:pStyle w:val="FirstParagraph"/>
      </w:pPr>
      <w:r>
        <w:t xml:space="preserve">All three theoretical frameworks discussed below offer explanations for why continuing participation occurs. However, since we assess behavior rather than motivational processes, we refrain from asserting that our study provides empirical support for any framework. These include:</w:t>
      </w:r>
    </w:p>
    <w:p>
      <w:pPr>
        <w:pStyle w:val="BodyText"/>
      </w:pPr>
      <w:r>
        <w:t xml:space="preserve">The Sport Commitment Model (Scanlan et al., 1993, 2016), which defines continued participation as a function of balancing enjoyment/investment and constraints arising from external factors. Our findings regarding continued participation and eventual dropout trajectories are consistent with stable enthusiasm and decreasing commitment.</w:t>
      </w:r>
    </w:p>
    <w:p>
      <w:pPr>
        <w:pStyle w:val="BodyText"/>
      </w:pPr>
      <w:r>
        <w:t xml:space="preserve">Self-Determination Theory and its application to sports (Ryan &amp; Deci, 2000; Sarrazin et al., 2002; Standage, 2012; Vallerand, 2007), which hypothesize that internalized motivation will sustain continued participation despite increasing demands.</w:t>
      </w:r>
    </w:p>
    <w:p>
      <w:pPr>
        <w:pStyle w:val="BodyText"/>
      </w:pPr>
      <w:r>
        <w:t xml:space="preserve">Qualitative withdrawal-as-process theories of dropout (Ebaugh, 1988; Eliasson &amp; Johansson, 2021; Espedalen &amp; Seippel, 2022), which describe dropout as a gradual deliberative process for athletes who remain formally involved in their sport — precisely what our register indicates happened with respect to dropping out at age 15 (at that age, a typical future dropout was still competing in approximately 3 meets, even though they would eventually stop competing altogether).</w:t>
      </w:r>
    </w:p>
    <w:p>
      <w:pPr>
        <w:pStyle w:val="BodyText"/>
      </w:pPr>
      <w:r>
        <w:t xml:space="preserve">Wall and Côté’s (2007) distinction between investor and sampler subpopulations and Espedalen’s (2025) engaged-enthusiast vs. constrained-casual distinction are both compatible with the idea that continued participation is contingent upon maintaining an acceptable balance between investment/enjoyment and constraint.</w:t>
      </w:r>
    </w:p>
    <w:p>
      <w:pPr>
        <w:pStyle w:val="BodyText"/>
      </w:pPr>
      <w:r>
        <w:t xml:space="preserve">Although the register does not allow us to determine which explanation best captures the mechanism responsible for this behavioral signature, it clearly demonstrates that</w:t>
      </w:r>
      <w:r>
        <w:t xml:space="preserve"> </w:t>
      </w:r>
      <w:r>
        <w:rPr>
          <w:i/>
          <w:iCs/>
        </w:rPr>
        <w:t xml:space="preserve">some</w:t>
      </w:r>
      <w:r>
        <w:t xml:space="preserve"> </w:t>
      </w:r>
      <w:r>
        <w:t xml:space="preserve">mechanism creating this footprint existed — and created a sufficiently large footprint to be observable in registered activity.</w:t>
      </w:r>
    </w:p>
    <w:bookmarkEnd w:id="66"/>
    <w:bookmarkStart w:id="67" w:name="sex-effect"/>
    <w:p>
      <w:pPr>
        <w:pStyle w:val="Heading2"/>
      </w:pPr>
      <w:r>
        <w:t xml:space="preserve">4.5 Sex effect</w:t>
      </w:r>
    </w:p>
    <w:p>
      <w:pPr>
        <w:pStyle w:val="FirstParagraph"/>
      </w:pPr>
      <w:r>
        <w:t xml:space="preserve">Kaplan–Meier plots for all competitors did not reveal a clear sex difference based on retention rates (log-rank</w:t>
      </w:r>
      <w:r>
        <w:t xml:space="preserve"> </w:t>
      </w:r>
      <w:r>
        <w:rPr>
          <w:i/>
          <w:iCs/>
        </w:rPr>
        <w:t xml:space="preserve">p</w:t>
      </w:r>
      <w:r>
        <w:t xml:space="preserve"> </w:t>
      </w:r>
      <w:r>
        <w:t xml:space="preserve">= .33); this contrasts with previous findings reported by Bakken (2019) and others based on surveys administered to Norwegian youth indicating higher dropout rates among females. The multivariable hazard ratio was statistically significant for females in Cohort A (HR = 1.19,</w:t>
      </w:r>
      <w:r>
        <w:t xml:space="preserve"> </w:t>
      </w:r>
      <w:r>
        <w:rPr>
          <w:i/>
          <w:iCs/>
        </w:rPr>
        <w:t xml:space="preserve">p</w:t>
      </w:r>
      <w:r>
        <w:t xml:space="preserve"> </w:t>
      </w:r>
      <w:r>
        <w:t xml:space="preserve">= .006) but not for females in Cohort B (HR = 1.02,</w:t>
      </w:r>
      <w:r>
        <w:t xml:space="preserve"> </w:t>
      </w:r>
      <w:r>
        <w:rPr>
          <w:i/>
          <w:iCs/>
        </w:rPr>
        <w:t xml:space="preserve">p</w:t>
      </w:r>
      <w:r>
        <w:t xml:space="preserve"> </w:t>
      </w:r>
      <w:r>
        <w:t xml:space="preserve">= .83). Critically, the</w:t>
      </w:r>
      <w:r>
        <w:t xml:space="preserve"> </w:t>
      </w:r>
      <w:r>
        <w:rPr>
          <w:i/>
          <w:iCs/>
        </w:rPr>
        <w:t xml:space="preserve">behavioral mechanism</w:t>
      </w:r>
      <w:r>
        <w:t xml:space="preserve"> </w:t>
      </w:r>
      <w:r>
        <w:t xml:space="preserve">driving retention/dropout risk was similar for males and females (Supplementary Table S7): milestone-window volume decreased dropout hazard similarly for males (HR = 0.42) and females (HR = 0.46), with C-indices of 0.843 for each sex. Therefore, whatever remains unique about any residual sex effect is driven by a separate factor operating</w:t>
      </w:r>
      <w:r>
        <w:t xml:space="preserve"> </w:t>
      </w:r>
      <w:r>
        <w:rPr>
          <w:i/>
          <w:iCs/>
        </w:rPr>
        <w:t xml:space="preserve">above</w:t>
      </w:r>
      <w:r>
        <w:t xml:space="preserve">, not</w:t>
      </w:r>
      <w:r>
        <w:t xml:space="preserve"> </w:t>
      </w:r>
      <w:r>
        <w:rPr>
          <w:i/>
          <w:iCs/>
        </w:rPr>
        <w:t xml:space="preserve">through</w:t>
      </w:r>
      <w:r>
        <w:t xml:space="preserve">, the behavioral pathway.</w:t>
      </w:r>
    </w:p>
    <w:bookmarkEnd w:id="67"/>
    <w:bookmarkStart w:id="68" w:name="contrary-to-diversification-literature"/>
    <w:p>
      <w:pPr>
        <w:pStyle w:val="Heading2"/>
      </w:pPr>
      <w:r>
        <w:t xml:space="preserve">4.6 Contrary to diversification literature</w:t>
      </w:r>
    </w:p>
    <w:p>
      <w:pPr>
        <w:pStyle w:val="FirstParagraph"/>
      </w:pPr>
      <w:r>
        <w:t xml:space="preserve">In contrast to a substantial body of literature arguing for the importance of diversifying across a range of disciplines for elite performance (Côté &amp; Hancock, 2016; Güllich et al., 2022; Wall &amp; Côté, 2007), we found that specialization at ages 13–14 predicted</w:t>
      </w:r>
      <w:r>
        <w:t xml:space="preserve"> </w:t>
      </w:r>
      <w:r>
        <w:rPr>
          <w:i/>
          <w:iCs/>
        </w:rPr>
        <w:t xml:space="preserve">greater</w:t>
      </w:r>
      <w:r>
        <w:t xml:space="preserve"> </w:t>
      </w:r>
      <w:r>
        <w:t xml:space="preserve">likelihood of retaining senior competition activity (OR = 1.35 per SD of HHI; 95% CI [1.16, 1.57]); this association persisted across both birth cohorts (Cohort A OR = 1.24; Cohort B OR = 1.58) and in the Cox model (HR = 0.80).</w:t>
      </w:r>
    </w:p>
    <w:p>
      <w:pPr>
        <w:pStyle w:val="BodyText"/>
      </w:pPr>
      <w:r>
        <w:t xml:space="preserve">There are multiple possible reasons why both findings could coexist:</w:t>
      </w:r>
    </w:p>
    <w:p>
      <w:pPr>
        <w:pStyle w:val="BodyText"/>
      </w:pPr>
      <w:r>
        <w:rPr>
          <w:b/>
          <w:bCs/>
        </w:rPr>
        <w:t xml:space="preserve">Different outcomes.</w:t>
      </w:r>
      <w:r>
        <w:t xml:space="preserve"> </w:t>
      </w:r>
      <w:r>
        <w:t xml:space="preserve">Peak-performance studies typically track individuals who go on to achieve elite status at some point; our retention study, by contrast, focuses solely on whether a young athlete remains actively competing at age 20.</w:t>
      </w:r>
    </w:p>
    <w:p>
      <w:pPr>
        <w:pStyle w:val="BodyText"/>
      </w:pPr>
      <w:r>
        <w:rPr>
          <w:b/>
          <w:bCs/>
        </w:rPr>
        <w:t xml:space="preserve">Different definitions/measures of specialization.</w:t>
      </w:r>
      <w:r>
        <w:t xml:space="preserve"> </w:t>
      </w:r>
      <w:r>
        <w:t xml:space="preserve">Elite developmental athletes who specialize in specific disciplines early in their careers often do so as part of a conscious effort to optimize their performance; whereas young athletes entering few disciplines early in their career tend to be doing so due to limited access to opportunities or resources supporting travel to distant locations where competitions are held. Since HHI captures</w:t>
      </w:r>
      <w:r>
        <w:t xml:space="preserve"> </w:t>
      </w:r>
      <w:r>
        <w:rPr>
          <w:i/>
          <w:iCs/>
        </w:rPr>
        <w:t xml:space="preserve">behavior</w:t>
      </w:r>
      <w:r>
        <w:t xml:space="preserve"> </w:t>
      </w:r>
      <w:r>
        <w:t xml:space="preserve">regardless of intent or motivation related to optimization/performance strategy, HHI can proxy</w:t>
      </w:r>
      <w:r>
        <w:t xml:space="preserve"> </w:t>
      </w:r>
      <w:r>
        <w:rPr>
          <w:i/>
          <w:iCs/>
        </w:rPr>
        <w:t xml:space="preserve">engagement support</w:t>
      </w:r>
      <w:r>
        <w:t xml:space="preserve"> </w:t>
      </w:r>
      <w:r>
        <w:t xml:space="preserve">while appearing to represent</w:t>
      </w:r>
      <w:r>
        <w:t xml:space="preserve"> </w:t>
      </w:r>
      <w:r>
        <w:rPr>
          <w:i/>
          <w:iCs/>
        </w:rPr>
        <w:t xml:space="preserve">performance strategy</w:t>
      </w:r>
      <w:r>
        <w:t xml:space="preserve">.</w:t>
      </w:r>
    </w:p>
    <w:p>
      <w:pPr>
        <w:pStyle w:val="BodyText"/>
      </w:pPr>
      <w:r>
        <w:rPr>
          <w:b/>
          <w:bCs/>
        </w:rPr>
        <w:t xml:space="preserve">Different starting populations.</w:t>
      </w:r>
      <w:r>
        <w:t xml:space="preserve"> </w:t>
      </w:r>
      <w:r>
        <w:t xml:space="preserve">As our cohort is defined as those who participate in regional meets at ages 13–14, we examine specialization’s effect</w:t>
      </w:r>
      <w:r>
        <w:t xml:space="preserve"> </w:t>
      </w:r>
      <w:r>
        <w:rPr>
          <w:i/>
          <w:iCs/>
        </w:rPr>
        <w:t xml:space="preserve">conditional on entry into the competitive funnel</w:t>
      </w:r>
      <w:r>
        <w:t xml:space="preserve">. The diversification literature asks a logically earlier question that we cannot answer.</w:t>
      </w:r>
    </w:p>
    <w:p>
      <w:pPr>
        <w:pStyle w:val="BodyText"/>
      </w:pPr>
      <w:r>
        <w:t xml:space="preserve">One obvious concern is whether HHI simply represents main-event performance. Direct tests revealed that HHI and primary-category Tyrving were essentially uncorrelated (r = −0.05); including primary-category performance in the model produced no change in the HHI coefficient (OR = 1.32 vs. OR = 1.36), and primary-category Tyrving was not significantly predictive of dropout (</w:t>
      </w:r>
      <w:r>
        <w:rPr>
          <w:i/>
          <w:iCs/>
        </w:rPr>
        <w:t xml:space="preserve">p</w:t>
      </w:r>
      <w:r>
        <w:t xml:space="preserve"> </w:t>
      </w:r>
      <w:r>
        <w:t xml:space="preserve">&gt; .12). Thus, specialization retains its own predictive power regarding retention.</w:t>
      </w:r>
    </w:p>
    <w:p>
      <w:pPr>
        <w:pStyle w:val="BodyText"/>
      </w:pPr>
      <w:r>
        <w:t xml:space="preserve">We view this as a contrast with, not a refutation of, the diversification literature. National governing bodies should not interpret our results as a license to push early specialization, nor as a basis for advocating forced diversification among highly motivated adolescent athletes who intend to continue competing beyond adolescence.</w:t>
      </w:r>
    </w:p>
    <w:bookmarkEnd w:id="68"/>
    <w:bookmarkStart w:id="69" w:name="what-registers-bring"/>
    <w:p>
      <w:pPr>
        <w:pStyle w:val="Heading2"/>
      </w:pPr>
      <w:r>
        <w:t xml:space="preserve">4.7 What registers bring</w:t>
      </w:r>
    </w:p>
    <w:p>
      <w:pPr>
        <w:pStyle w:val="FirstParagraph"/>
      </w:pPr>
      <w:r>
        <w:t xml:space="preserve">Two structural issues limit survey research on dropout among youth-sport participants: dropped-out athletes are generally difficult to recruit (Eime et al., 2013); additionally, because surveys rely on recall, retrospective accounts collapse the continuous nature of dropout into narrative constructs representing discrete decisions (Schacter, 2001). Registers eliminate both problems — registration creates a complete population of subjects available for recruitment, and registration records create continuous rather than reconstructed representations of behavioral sequences over time.</w:t>
      </w:r>
    </w:p>
    <w:p>
      <w:pPr>
        <w:pStyle w:val="BodyText"/>
      </w:pPr>
      <w:r>
        <w:t xml:space="preserve">Registers provide not a new theoretical explanation but a longitudinal behavioral test of theories proposed largely from cross-sectional or short-prospective evidence. Our signal classifies senior retention at AUC = 0.751 with only baseline-window data, replicates across cohorts, withstands structural controls and an E-value exceeding 5, and decomposes into both early-heterogeneity and within-athlete pull-back components.</w:t>
      </w:r>
    </w:p>
    <w:bookmarkEnd w:id="69"/>
    <w:bookmarkStart w:id="70" w:name="implications-for-practitioners"/>
    <w:p>
      <w:pPr>
        <w:pStyle w:val="Heading2"/>
      </w:pPr>
      <w:r>
        <w:t xml:space="preserve">4.8 Implications for practitioners</w:t>
      </w:r>
    </w:p>
    <w:p>
      <w:pPr>
        <w:pStyle w:val="FirstParagraph"/>
      </w:pPr>
      <w:r>
        <w:t xml:space="preserve">Four implications arise from the analyses above.</w:t>
      </w:r>
    </w:p>
    <w:p>
      <w:pPr>
        <w:pStyle w:val="BodyText"/>
      </w:pPr>
      <w:r>
        <w:rPr>
          <w:b/>
          <w:bCs/>
        </w:rPr>
        <w:t xml:space="preserve">(1) Behavioral surveillance using registers to identify potentially vulnerable athletes for early interventions.</w:t>
      </w:r>
      <w:r>
        <w:t xml:space="preserve"> </w:t>
      </w:r>
      <w:r>
        <w:t xml:space="preserve">Flag athletes whose combined ages-13–14 competition counts fall below a chosen threshold after each athlete completes their age-14 season — screening is completely automatic from the register without contacting any athlete. An appropriate threshold (&lt; 10 meets, flagging ~26%) produces PPV = 0.94 — about 10 percentage points higher than the cohort-wide dropout base rate (84%). Thresholds can be adjusted upward or downward depending on desired levels of sensitivity/specificity: &lt; 5 meets (~9% flagged) for focused outreach; &lt; 15 meets (~43% flagged) for more general screening.</w:t>
      </w:r>
    </w:p>
    <w:p>
      <w:pPr>
        <w:pStyle w:val="BodyText"/>
      </w:pPr>
      <w:r>
        <w:rPr>
          <w:b/>
          <w:bCs/>
        </w:rPr>
        <w:t xml:space="preserve">(2) Flag again after age 15 using within-athlete change.</w:t>
      </w:r>
      <w:r>
        <w:t xml:space="preserve"> </w:t>
      </w:r>
      <w:r>
        <w:t xml:space="preserve">Level at age 14 and change from age 14 to 15 each provide independent pieces of information regarding retention/dropout risk (Section 3.6; Table 4). Screen athletes after completing their age-15 season for those who had high levels initially but are now pulling back — thus creating a two-screen strategy: first at end of age 14 (level); second at end of age 15 (change).</w:t>
      </w:r>
    </w:p>
    <w:p>
      <w:pPr>
        <w:pStyle w:val="BodyText"/>
      </w:pPr>
      <w:r>
        <w:rPr>
          <w:b/>
          <w:bCs/>
        </w:rPr>
        <w:t xml:space="preserve">(3) Reduce barriers facing the next-year competition cycle.</w:t>
      </w:r>
      <w:r>
        <w:t xml:space="preserve"> </w:t>
      </w:r>
      <w:r>
        <w:t xml:space="preserve">The most direct downstream intervention is making the</w:t>
      </w:r>
      <w:r>
        <w:t xml:space="preserve"> </w:t>
      </w:r>
      <w:r>
        <w:rPr>
          <w:i/>
          <w:iCs/>
        </w:rPr>
        <w:t xml:space="preserve">next</w:t>
      </w:r>
      <w:r>
        <w:t xml:space="preserve"> </w:t>
      </w:r>
      <w:r>
        <w:t xml:space="preserve">registered competition easier for flagged athletes: subsidize travel to the regional qualification meet, waive entry fees, organize coach-accompanied transport, schedule low-stakes practice meets, and signal that participation is welcome regardless of qualifying performance. Each action changes the cost side of the engagement balance (Scanlan et al., 1993, 2016). Coach and parent contact complement, but do not substitute for, lowering structural barriers.</w:t>
      </w:r>
    </w:p>
    <w:p>
      <w:pPr>
        <w:pStyle w:val="BodyText"/>
      </w:pPr>
      <w:r>
        <w:rPr>
          <w:b/>
          <w:bCs/>
        </w:rPr>
        <w:t xml:space="preserve">(4) Be cautious about prescribing diversification for retention.</w:t>
      </w:r>
      <w:r>
        <w:t xml:space="preserve"> </w:t>
      </w:r>
      <w:r>
        <w:t xml:space="preserve">Our retention finding goes opposite to the international diversification literature for peak performance. Federations should</w:t>
      </w:r>
      <w:r>
        <w:t xml:space="preserve"> </w:t>
      </w:r>
      <w:r>
        <w:rPr>
          <w:i/>
          <w:iCs/>
        </w:rPr>
        <w:t xml:space="preserve">not</w:t>
      </w:r>
      <w:r>
        <w:t xml:space="preserve"> </w:t>
      </w:r>
      <w:r>
        <w:t xml:space="preserve">push event diversification as a retention strategy in this age group; forced diversification could disrupt conditions that sustain engagement among committed adolescents.</w:t>
      </w:r>
    </w:p>
    <w:p>
      <w:pPr>
        <w:pStyle w:val="BodyText"/>
      </w:pPr>
      <w:r>
        <w:t xml:space="preserve">Behavioral surveillance complements commitment instruments such as the SCQ-2 (Scanlan et al., 2016): behavior identifies</w:t>
      </w:r>
      <w:r>
        <w:t xml:space="preserve"> </w:t>
      </w:r>
      <w:r>
        <w:rPr>
          <w:i/>
          <w:iCs/>
        </w:rPr>
        <w:t xml:space="preserve">whom</w:t>
      </w:r>
      <w:r>
        <w:t xml:space="preserve"> </w:t>
      </w:r>
      <w:r>
        <w:t xml:space="preserve">to reach; understanding</w:t>
      </w:r>
      <w:r>
        <w:t xml:space="preserve"> </w:t>
      </w:r>
      <w:r>
        <w:rPr>
          <w:i/>
          <w:iCs/>
        </w:rPr>
        <w:t xml:space="preserve">why</w:t>
      </w:r>
      <w:r>
        <w:t xml:space="preserve"> </w:t>
      </w:r>
      <w:r>
        <w:t xml:space="preserve">still requires conversation.</w:t>
      </w:r>
    </w:p>
    <w:bookmarkEnd w:id="70"/>
    <w:bookmarkStart w:id="71" w:name="limitations"/>
    <w:p>
      <w:pPr>
        <w:pStyle w:val="Heading2"/>
      </w:pPr>
      <w:r>
        <w:t xml:space="preserve">4.9 Limitations</w:t>
      </w:r>
    </w:p>
    <w:p>
      <w:pPr>
        <w:pStyle w:val="FirstParagraph"/>
      </w:pPr>
      <w:r>
        <w:t xml:space="preserve">First, the outcome indexes</w:t>
      </w:r>
      <w:r>
        <w:t xml:space="preserve"> </w:t>
      </w:r>
      <w:r>
        <w:rPr>
          <w:i/>
          <w:iCs/>
        </w:rPr>
        <w:t xml:space="preserve">attrition from competition</w:t>
      </w:r>
      <w:r>
        <w:t xml:space="preserve">, not from sport: an athlete who stops competing in track and field but continues to train or moves to another sport is counted as a dropout. The behavioral signal is best read as disengagement from organized competitive participation and the</w:t>
      </w:r>
      <w:r>
        <w:t xml:space="preserve"> </w:t>
      </w:r>
      <w:r>
        <w:rPr>
          <w:i/>
          <w:iCs/>
        </w:rPr>
        <w:t xml:space="preserve">competitive identity</w:t>
      </w:r>
      <w:r>
        <w:t xml:space="preserve"> </w:t>
      </w:r>
      <w:r>
        <w:t xml:space="preserve">it supports, not from sport or physical activity broadly. Second, the register records official performance, not subjective experience; the qualitative literature is essential for unpacking</w:t>
      </w:r>
      <w:r>
        <w:t xml:space="preserve"> </w:t>
      </w:r>
      <w:r>
        <w:rPr>
          <w:i/>
          <w:iCs/>
        </w:rPr>
        <w:t xml:space="preserve">why</w:t>
      </w:r>
      <w:r>
        <w:t xml:space="preserve"> </w:t>
      </w:r>
      <w:r>
        <w:t xml:space="preserve">volume declines. Third, the population is soft-selected through registered club membership: findings describe disengagement</w:t>
      </w:r>
      <w:r>
        <w:t xml:space="preserve"> </w:t>
      </w:r>
      <w:r>
        <w:rPr>
          <w:i/>
          <w:iCs/>
        </w:rPr>
        <w:t xml:space="preserve">from a baseline of demonstrable engagement</w:t>
      </w:r>
      <w:r>
        <w:t xml:space="preserve"> </w:t>
      </w:r>
      <w:r>
        <w:t xml:space="preserve">and do not generalize to children with no organized-sport history. Fourth, predictor and outcome share a measurement scale; despite the baseline-only primary model, landmark and zero-volume sensitivities, and the level-vs-change decomposition, structural overlap remains a conceptual limitation of register-only designs. Fifth, the secondary post-baseline Cox specification violated proportional hazards (Schoenfeld χ² = 220.77); we therefore report period-specific estimates descriptively. Sixth, the 2001–2002 cohort has at most 4 post-senior years of observation; longer follow-up would help distinguish late dropouts from genuine career athletes.</w:t>
      </w:r>
    </w:p>
    <w:bookmarkEnd w:id="71"/>
    <w:bookmarkStart w:id="72" w:name="future-directions"/>
    <w:p>
      <w:pPr>
        <w:pStyle w:val="Heading2"/>
      </w:pPr>
      <w:r>
        <w:t xml:space="preserve">4.10 Future directions</w:t>
      </w:r>
    </w:p>
    <w:p>
      <w:pPr>
        <w:pStyle w:val="FirstParagraph"/>
      </w:pPr>
      <w:r>
        <w:t xml:space="preserve">Three extensions deserve attention: linking the register-based behavioral signal to standard psychological instruments (e.g., SCQ-2, which measures sport commitment rather than intrinsic motivation per se) in currently active athletes to test whether low volume tracks low commitment or low enjoyment; testing cross-sport generalization where registers are less complete; and quasi-experimental implementation of behavioral surveillance with federation-level outreach to athletes whose pre-milestone volume falls below a non-zero threshold that excludes mechanically dropped-out athletes (e.g., 1 ≤ vol &lt; 10).</w:t>
      </w:r>
    </w:p>
    <w:bookmarkEnd w:id="72"/>
    <w:bookmarkStart w:id="73" w:name="conclusion"/>
    <w:p>
      <w:pPr>
        <w:pStyle w:val="Heading2"/>
      </w:pPr>
      <w:r>
        <w:t xml:space="preserve">4.11 Conclusion</w:t>
      </w:r>
    </w:p>
    <w:p>
      <w:pPr>
        <w:pStyle w:val="FirstParagraph"/>
      </w:pPr>
      <w:r>
        <w:t xml:space="preserve">Senior retention in Norwegian youth track and field is prospectively associated with baseline-window competition behavior: athletes who already compete more at ages 13–14 retain at substantially higher rates, and those who decline across the age-14-to-15 transition retain at substantially lower rates. The effect is robust to structural controls, replicates across two birth-year cohorts, and is not driven by mechanical zero-values. Both early heterogeneity and within-athlete pull-back contribute independently. Findings are consistent with — though they do not directly confirm — long-standing qualitative and theoretical accounts of dropout as a gradual deliberative process. They suggest a practical role for prospective register-based behavioral surveillance, implementable at the end of an athlete’s 14-year-old season.</w:t>
      </w:r>
    </w:p>
    <w:p>
      <w:r>
        <w:pict>
          <v:rect style="width:0;height:1.5pt" o:hralign="center" o:hrstd="t" o:hr="t"/>
        </w:pict>
      </w:r>
    </w:p>
    <w:bookmarkEnd w:id="73"/>
    <w:bookmarkStart w:id="74"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 used Claude Code (Anthropic) to assist with implementing statistical analyses in Python, generating figures using matplotlib, and editing the manuscript text for clarity and consistency. After using this tool, the author reviewed and edited the content as needed and takes full responsibility for the content of the published article. All scientific decisions, interpretations, and conclusions are the author’s own.</w:t>
      </w:r>
    </w:p>
    <w:p>
      <w:r>
        <w:pict>
          <v:rect style="width:0;height:1.5pt" o:hralign="center" o:hrstd="t" o:hr="t"/>
        </w:pict>
      </w:r>
    </w:p>
    <w:bookmarkEnd w:id="74"/>
    <w:bookmarkStart w:id="75" w:name="references"/>
    <w:p>
      <w:pPr>
        <w:pStyle w:val="Heading2"/>
      </w:pPr>
      <w:r>
        <w:t xml:space="preserve">References</w:t>
      </w:r>
    </w:p>
    <w:p>
      <w:pPr>
        <w:pStyle w:val="FirstParagraph"/>
      </w:pPr>
      <w:r>
        <w:t xml:space="preserve">(APA 7th edition format)</w:t>
      </w:r>
    </w:p>
    <w:p>
      <w:pPr>
        <w:pStyle w:val="BodyText"/>
      </w:pPr>
      <w:r>
        <w:t xml:space="preserve">Baker, J., Cattle, A., McAuley, A., Kelly, A., &amp; Johnston, K. (2026). Will artificial intelligence solve the riddle of athlete development? A critical review of how AI is being used for athlete identification, selection, and development.</w:t>
      </w:r>
      <w:r>
        <w:t xml:space="preserve"> </w:t>
      </w:r>
      <w:r>
        <w:rPr>
          <w:i/>
          <w:iCs/>
        </w:rPr>
        <w:t xml:space="preserve">Psychology of Sport and Exercise, 82</w:t>
      </w:r>
      <w:r>
        <w:t xml:space="preserve">, Article 102978. https://doi.org/10.1016/j.psychsport.2025.102978</w:t>
      </w:r>
    </w:p>
    <w:p>
      <w:pPr>
        <w:pStyle w:val="BodyText"/>
      </w:pPr>
      <w:r>
        <w:t xml:space="preserve">Bakken, A. (2019).</w:t>
      </w:r>
      <w:r>
        <w:t xml:space="preserve"> </w:t>
      </w:r>
      <w:r>
        <w:rPr>
          <w:i/>
          <w:iCs/>
        </w:rPr>
        <w:t xml:space="preserve">Idrettens posisjon i ungdomstida: Hvem deltar og hvem slutter i ungdomsidretten?</w:t>
      </w:r>
      <w:r>
        <w:t xml:space="preserve"> </w:t>
      </w:r>
      <w:r>
        <w:t xml:space="preserve">[The position of sport in adolescence: Who participates and who drops out of youth sport?] (NOVA Rapport 2/2019). Oslo Metropolitan University.</w:t>
      </w:r>
    </w:p>
    <w:p>
      <w:pPr>
        <w:pStyle w:val="BodyText"/>
      </w:pPr>
      <w:r>
        <w:t xml:space="preserve">Berk, R. A., &amp; Freedman, D. A. (2003). Statistical assumptions as empirical commitments. In T. G. Blomberg &amp; S. Cohen (Eds.),</w:t>
      </w:r>
      <w:r>
        <w:t xml:space="preserve"> </w:t>
      </w:r>
      <w:r>
        <w:rPr>
          <w:i/>
          <w:iCs/>
        </w:rPr>
        <w:t xml:space="preserve">Punishment and social control: Essays in honor of Sheldon L. Messinger</w:t>
      </w:r>
      <w:r>
        <w:t xml:space="preserve"> </w:t>
      </w:r>
      <w:r>
        <w:t xml:space="preserve">(2nd ed., pp. 235–254). Aldine de Gruyter.</w:t>
      </w:r>
    </w:p>
    <w:p>
      <w:pPr>
        <w:pStyle w:val="BodyText"/>
      </w:pPr>
      <w:r>
        <w:t xml:space="preserve">Breiman, L. (2001). Random forests.</w:t>
      </w:r>
      <w:r>
        <w:t xml:space="preserve"> </w:t>
      </w:r>
      <w:r>
        <w:rPr>
          <w:i/>
          <w:iCs/>
        </w:rPr>
        <w:t xml:space="preserve">Machine Learning, 45</w:t>
      </w:r>
      <w:r>
        <w:t xml:space="preserve">(1), 5–32. https://doi.org/10.1023/A:1010933404324</w:t>
      </w:r>
    </w:p>
    <w:p>
      <w:pPr>
        <w:pStyle w:val="BodyText"/>
      </w:pPr>
      <w:r>
        <w:t xml:space="preserve">Calvo, T. G., Cervelló, E., Jiménez, R., Iglesias, D., &amp; Murcia, J. A. M. (2010). Using self-determination theory to explain sport persistence and dropout in adolescent athletes.</w:t>
      </w:r>
      <w:r>
        <w:t xml:space="preserve"> </w:t>
      </w:r>
      <w:r>
        <w:rPr>
          <w:i/>
          <w:iCs/>
        </w:rPr>
        <w:t xml:space="preserve">The Spanish Journal of Psychology, 13</w:t>
      </w:r>
      <w:r>
        <w:t xml:space="preserve">(2), 677–684. https://doi.org/10.1017/S1138741600002341</w:t>
      </w:r>
    </w:p>
    <w:p>
      <w:pPr>
        <w:pStyle w:val="BodyText"/>
      </w:pPr>
      <w:r>
        <w:t xml:space="preserve">Cobley, S., Baker, J., Wattie, N., &amp; McKenna, J. (2009). Annual age-grouping and athlete development: A meta-analytical review of relative age effects in sport.</w:t>
      </w:r>
      <w:r>
        <w:t xml:space="preserve"> </w:t>
      </w:r>
      <w:r>
        <w:rPr>
          <w:i/>
          <w:iCs/>
        </w:rPr>
        <w:t xml:space="preserve">Sports Medicine, 39</w:t>
      </w:r>
      <w:r>
        <w:t xml:space="preserve">(3), 235–256. https://doi.org/10.2165/00007256-200939030-00005</w:t>
      </w:r>
    </w:p>
    <w:p>
      <w:pPr>
        <w:pStyle w:val="BodyText"/>
      </w:pPr>
      <w:r>
        <w:t xml:space="preserve">Côté, J., &amp; Hancock, D. J. (2016). Evidence-based policies for youth sport programmes.</w:t>
      </w:r>
      <w:r>
        <w:t xml:space="preserve"> </w:t>
      </w:r>
      <w:r>
        <w:rPr>
          <w:i/>
          <w:iCs/>
        </w:rPr>
        <w:t xml:space="preserve">International Journal of Sport Policy and Politics, 8</w:t>
      </w:r>
      <w:r>
        <w:t xml:space="preserve">(1), 51–65. https://doi.org/10.1080/19406940.2014.919338</w:t>
      </w:r>
    </w:p>
    <w:p>
      <w:pPr>
        <w:pStyle w:val="BodyText"/>
      </w:pPr>
      <w:r>
        <w:t xml:space="preserve">Cox, D. R. (1972). Regression models and life-tables.</w:t>
      </w:r>
      <w:r>
        <w:t xml:space="preserve"> </w:t>
      </w:r>
      <w:r>
        <w:rPr>
          <w:i/>
          <w:iCs/>
        </w:rPr>
        <w:t xml:space="preserve">Journal of the Royal Statistical Society: Series B (Methodological), 34</w:t>
      </w:r>
      <w:r>
        <w:t xml:space="preserve">(2), 187–202. https://doi.org/10.1111/j.2517-6161.1972.tb00899.x</w:t>
      </w:r>
    </w:p>
    <w:p>
      <w:pPr>
        <w:pStyle w:val="BodyText"/>
      </w:pPr>
      <w:r>
        <w:t xml:space="preserve">Crane, J., &amp; Temple, V. (2015). A systematic review of dropout from organized sport among children and youth.</w:t>
      </w:r>
      <w:r>
        <w:t xml:space="preserve"> </w:t>
      </w:r>
      <w:r>
        <w:rPr>
          <w:i/>
          <w:iCs/>
        </w:rPr>
        <w:t xml:space="preserve">European Physical Education Review, 21</w:t>
      </w:r>
      <w:r>
        <w:t xml:space="preserve">(1), 114–131. https://doi.org/10.1177/1356336X14555294</w:t>
      </w:r>
    </w:p>
    <w:p>
      <w:pPr>
        <w:pStyle w:val="BodyText"/>
      </w:pPr>
      <w:r>
        <w:t xml:space="preserve">Davidson-Pilon, C. (2024).</w:t>
      </w:r>
      <w:r>
        <w:t xml:space="preserve"> </w:t>
      </w:r>
      <w:r>
        <w:rPr>
          <w:i/>
          <w:iCs/>
        </w:rPr>
        <w:t xml:space="preserve">lifelines: Survival analysis in Python</w:t>
      </w:r>
      <w:r>
        <w:t xml:space="preserve"> </w:t>
      </w:r>
      <w:r>
        <w:t xml:space="preserve">(Version 0.30) [Computer software]. Zenodo. https://doi.org/10.5281/zenodo.10456828</w:t>
      </w:r>
    </w:p>
    <w:p>
      <w:pPr>
        <w:pStyle w:val="BodyText"/>
      </w:pPr>
      <w:r>
        <w:t xml:space="preserve">DiFiori, J. P., Benjamin, H. J., Brenner, J. S., Gregory, A., Jayanthi, N., Landry, G. L., &amp; Luke, A. (2014). Overuse injuries and burnout in youth sports: A position statement from the American Medical Society for Sports Medicine.</w:t>
      </w:r>
      <w:r>
        <w:t xml:space="preserve"> </w:t>
      </w:r>
      <w:r>
        <w:rPr>
          <w:i/>
          <w:iCs/>
        </w:rPr>
        <w:t xml:space="preserve">Clinical Journal of Sport Medicine, 24</w:t>
      </w:r>
      <w:r>
        <w:t xml:space="preserve">(1), 3–20. https://doi.org/10.1097/JSM.0000000000000060</w:t>
      </w:r>
    </w:p>
    <w:p>
      <w:pPr>
        <w:pStyle w:val="BodyText"/>
      </w:pPr>
      <w:r>
        <w:t xml:space="preserve">Ebaugh, H. R. F. (1988).</w:t>
      </w:r>
      <w:r>
        <w:t xml:space="preserve"> </w:t>
      </w:r>
      <w:r>
        <w:rPr>
          <w:i/>
          <w:iCs/>
        </w:rPr>
        <w:t xml:space="preserve">Becoming an ex: The process of role exit</w:t>
      </w:r>
      <w:r>
        <w:t xml:space="preserve">. University of Chicago Press.</w:t>
      </w:r>
    </w:p>
    <w:p>
      <w:pPr>
        <w:pStyle w:val="BodyText"/>
      </w:pPr>
      <w:r>
        <w:t xml:space="preserve">Efron, B. (1977). The efficiency of Cox’s likelihood function for censored data.</w:t>
      </w:r>
      <w:r>
        <w:t xml:space="preserve"> </w:t>
      </w:r>
      <w:r>
        <w:rPr>
          <w:i/>
          <w:iCs/>
        </w:rPr>
        <w:t xml:space="preserve">Journal of the American Statistical Association, 72</w:t>
      </w:r>
      <w:r>
        <w:t xml:space="preserve">(359), 557–565. https://doi.org/10.1080/01621459.1977.10480613</w:t>
      </w:r>
    </w:p>
    <w:p>
      <w:pPr>
        <w:pStyle w:val="BodyText"/>
      </w:pPr>
      <w:r>
        <w:t xml:space="preserve">Eime, R. M., Young, J. A., Harvey, J. T., Charity, M. J., &amp; Payne, W. R. (2013). A systematic review of the psychological and social benefits of participation in sport for children and adolescents: Informing development of a conceptual model of health through sport.</w:t>
      </w:r>
      <w:r>
        <w:t xml:space="preserve"> </w:t>
      </w:r>
      <w:r>
        <w:rPr>
          <w:i/>
          <w:iCs/>
        </w:rPr>
        <w:t xml:space="preserve">International Journal of Behavioral Nutrition and Physical Activity, 10</w:t>
      </w:r>
      <w:r>
        <w:t xml:space="preserve">, Article 98. https://doi.org/10.1186/1479-5868-10-98</w:t>
      </w:r>
    </w:p>
    <w:p>
      <w:pPr>
        <w:pStyle w:val="BodyText"/>
      </w:pPr>
      <w:r>
        <w:t xml:space="preserve">Eliasson, I., &amp; Johansson, A. (2021). The disengagement process among young athletes when withdrawing from sport: A new research approach.</w:t>
      </w:r>
      <w:r>
        <w:t xml:space="preserve"> </w:t>
      </w:r>
      <w:r>
        <w:rPr>
          <w:i/>
          <w:iCs/>
        </w:rPr>
        <w:t xml:space="preserve">International Review for the Sociology of Sport, 56</w:t>
      </w:r>
      <w:r>
        <w:t xml:space="preserve">(4), 537–557. https://doi.org/10.1177/1012690219899614</w:t>
      </w:r>
    </w:p>
    <w:p>
      <w:pPr>
        <w:pStyle w:val="BodyText"/>
      </w:pPr>
      <w:r>
        <w:t xml:space="preserve">Espedalen, L. E. (2025).</w:t>
      </w:r>
      <w:r>
        <w:t xml:space="preserve"> </w:t>
      </w:r>
      <w:r>
        <w:rPr>
          <w:i/>
          <w:iCs/>
        </w:rPr>
        <w:t xml:space="preserve">Engaged enthusiasts and constrained casuals: A mixed-methods study of commitment and withdrawal in Norwegian youth team sport</w:t>
      </w:r>
      <w:r>
        <w:t xml:space="preserve"> </w:t>
      </w:r>
      <w:r>
        <w:t xml:space="preserve">[Doctoral dissertation, Norwegian School of Sport Sciences].</w:t>
      </w:r>
    </w:p>
    <w:p>
      <w:pPr>
        <w:pStyle w:val="BodyText"/>
      </w:pPr>
      <w:r>
        <w:t xml:space="preserve">Espedalen, L. E., &amp; Seippel, Ø. (2022). Dropout and social inequality: Young people’s reasons for leaving organized sports.</w:t>
      </w:r>
      <w:r>
        <w:t xml:space="preserve"> </w:t>
      </w:r>
      <w:r>
        <w:rPr>
          <w:i/>
          <w:iCs/>
        </w:rPr>
        <w:t xml:space="preserve">Annals of Leisure Research, 27</w:t>
      </w:r>
      <w:r>
        <w:t xml:space="preserve">(2), 197–214. https://doi.org/10.1080/11745398.2022.2070512</w:t>
      </w:r>
    </w:p>
    <w:p>
      <w:pPr>
        <w:pStyle w:val="BodyText"/>
      </w:pPr>
      <w:r>
        <w:t xml:space="preserve">Grambsch, P. M., &amp; Therneau, T. M. (1994). Proportional hazards tests and diagnostics based on weighted residuals.</w:t>
      </w:r>
      <w:r>
        <w:t xml:space="preserve"> </w:t>
      </w:r>
      <w:r>
        <w:rPr>
          <w:i/>
          <w:iCs/>
        </w:rPr>
        <w:t xml:space="preserve">Biometrika, 81</w:t>
      </w:r>
      <w:r>
        <w:t xml:space="preserve">(3), 515–526. https://doi.org/10.1093/biomet/81.3.515</w:t>
      </w:r>
    </w:p>
    <w:p>
      <w:pPr>
        <w:pStyle w:val="BodyText"/>
      </w:pPr>
      <w:r>
        <w:t xml:space="preserve">Güllich, A., Macnamara, B. N., &amp; Hambrick, D. Z. (2022). What makes a champion? Early multidisciplinary practice, not early specialization, predicts world-class performance.</w:t>
      </w:r>
      <w:r>
        <w:t xml:space="preserve"> </w:t>
      </w:r>
      <w:r>
        <w:rPr>
          <w:i/>
          <w:iCs/>
        </w:rPr>
        <w:t xml:space="preserve">Perspectives on Psychological Science, 17</w:t>
      </w:r>
      <w:r>
        <w:t xml:space="preserve">(1), 6–29. https://doi.org/10.1177/1745691620974772</w:t>
      </w:r>
    </w:p>
    <w:p>
      <w:pPr>
        <w:pStyle w:val="BodyText"/>
      </w:pPr>
      <w:r>
        <w:t xml:space="preserve">Heale, R., &amp; Forbes, D. (2013). Understanding triangulation in research.</w:t>
      </w:r>
      <w:r>
        <w:t xml:space="preserve"> </w:t>
      </w:r>
      <w:r>
        <w:rPr>
          <w:i/>
          <w:iCs/>
        </w:rPr>
        <w:t xml:space="preserve">Evidence-Based Nursing, 16</w:t>
      </w:r>
      <w:r>
        <w:t xml:space="preserve">(4), 98. https://doi.org/10.1136/eb-2013-101494</w:t>
      </w:r>
    </w:p>
    <w:p>
      <w:pPr>
        <w:pStyle w:val="BodyText"/>
      </w:pPr>
      <w:r>
        <w:t xml:space="preserve">Heidari, S., Babor, T. F., De Castro, P., Tort, S., &amp; Curno, M. (2016). Sex and Gender Equity in Research: Rationale for the SAGER guidelines and recommended use.</w:t>
      </w:r>
      <w:r>
        <w:t xml:space="preserve"> </w:t>
      </w:r>
      <w:r>
        <w:rPr>
          <w:i/>
          <w:iCs/>
        </w:rPr>
        <w:t xml:space="preserve">Research Integrity and Peer Review, 1</w:t>
      </w:r>
      <w:r>
        <w:t xml:space="preserve">, Article 2. https://doi.org/10.1186/s41073-016-0007-6</w:t>
      </w:r>
    </w:p>
    <w:p>
      <w:pPr>
        <w:pStyle w:val="BodyText"/>
      </w:pPr>
      <w:r>
        <w:t xml:space="preserve">Hsieh, F. Y., &amp; Lavori, P. W. (2000). Sample-size calculations for the Cox proportional hazards regression model with nonbinary covariates.</w:t>
      </w:r>
      <w:r>
        <w:t xml:space="preserve"> </w:t>
      </w:r>
      <w:r>
        <w:rPr>
          <w:i/>
          <w:iCs/>
        </w:rPr>
        <w:t xml:space="preserve">Controlled Clinical Trials, 21</w:t>
      </w:r>
      <w:r>
        <w:t xml:space="preserve">(6), 552–560. https://doi.org/10.1016/S0197-2456(00)00104-5</w:t>
      </w:r>
    </w:p>
    <w:p>
      <w:pPr>
        <w:pStyle w:val="BodyText"/>
      </w:pPr>
      <w:r>
        <w:t xml:space="preserve">Hunter, J. D. (2007). Matplotlib: A 2D graphics environment.</w:t>
      </w:r>
      <w:r>
        <w:t xml:space="preserve"> </w:t>
      </w:r>
      <w:r>
        <w:rPr>
          <w:i/>
          <w:iCs/>
        </w:rPr>
        <w:t xml:space="preserve">Computing in Science &amp; Engineering, 9</w:t>
      </w:r>
      <w:r>
        <w:t xml:space="preserve">(3), 90–95. https://doi.org/10.1109/MCSE.2007.55</w:t>
      </w:r>
    </w:p>
    <w:p>
      <w:pPr>
        <w:pStyle w:val="BodyText"/>
      </w:pPr>
      <w:r>
        <w:t xml:space="preserve">Jayanthi, N. A., LaBella, C. R., Fischer, D., Pasulka, J., &amp; Dugas, L. R. (2015). Sports-specialized intensive training and the risk of injury in young athletes: A clinical case-control study.</w:t>
      </w:r>
      <w:r>
        <w:t xml:space="preserve"> </w:t>
      </w:r>
      <w:r>
        <w:rPr>
          <w:i/>
          <w:iCs/>
        </w:rPr>
        <w:t xml:space="preserve">American Journal of Sports Medicine, 43</w:t>
      </w:r>
      <w:r>
        <w:t xml:space="preserve">(4), 794–801. https://doi.org/10.1177/0363546514567298</w:t>
      </w:r>
    </w:p>
    <w:p>
      <w:pPr>
        <w:pStyle w:val="BodyText"/>
      </w:pPr>
      <w:r>
        <w:t xml:space="preserve">Kretchmar, R. S. (2000). Movement subcultures: Sites for meaning.</w:t>
      </w:r>
      <w:r>
        <w:t xml:space="preserve"> </w:t>
      </w:r>
      <w:r>
        <w:rPr>
          <w:i/>
          <w:iCs/>
        </w:rPr>
        <w:t xml:space="preserve">Journal of Physical Education, Recreation &amp; Dance, 71</w:t>
      </w:r>
      <w:r>
        <w:t xml:space="preserve">(5), 19–25. https://doi.org/10.1080/07303084.2000.10605140</w:t>
      </w:r>
    </w:p>
    <w:p>
      <w:pPr>
        <w:pStyle w:val="BodyText"/>
      </w:pPr>
      <w:r>
        <w:t xml:space="preserve">Kuokkanen, J., Phipps, D. J., Saarinen, M., Korhonen, J., Romar, J.-E., &amp; Gustafsson, H. (2026). Trajectories of sport exhaustion, cynicism and inadequacy among adolescent student-athletes: A three-year longitudinal study of social influences in the Finnish dual career context.</w:t>
      </w:r>
      <w:r>
        <w:t xml:space="preserve"> </w:t>
      </w:r>
      <w:r>
        <w:rPr>
          <w:i/>
          <w:iCs/>
        </w:rPr>
        <w:t xml:space="preserve">Psychology of Sport and Exercise, 82</w:t>
      </w:r>
      <w:r>
        <w:t xml:space="preserve">, Article 103015. https://doi.org/10.1016/j.psychsport.2025.103015</w:t>
      </w:r>
    </w:p>
    <w:p>
      <w:pPr>
        <w:pStyle w:val="BodyText"/>
      </w:pPr>
      <w:r>
        <w:t xml:space="preserve">Lin, D. Y., &amp; Wei, L. J. (1989). The robust inference for the Cox proportional hazards model.</w:t>
      </w:r>
      <w:r>
        <w:t xml:space="preserve"> </w:t>
      </w:r>
      <w:r>
        <w:rPr>
          <w:i/>
          <w:iCs/>
        </w:rPr>
        <w:t xml:space="preserve">Journal of the American Statistical Association, 84</w:t>
      </w:r>
      <w:r>
        <w:t xml:space="preserve">(408), 1074–1078. https://doi.org/10.1080/01621459.1989.10478874</w:t>
      </w:r>
    </w:p>
    <w:p>
      <w:pPr>
        <w:pStyle w:val="BodyText"/>
      </w:pPr>
      <w:r>
        <w:t xml:space="preserve">Norges Friidrettsforbund. (2024).</w:t>
      </w:r>
      <w:r>
        <w:t xml:space="preserve"> </w:t>
      </w:r>
      <w:r>
        <w:rPr>
          <w:i/>
          <w:iCs/>
        </w:rPr>
        <w:t xml:space="preserve">Tyrvingtabellen: Poengtabell for ungdomsfriidrett</w:t>
      </w:r>
      <w:r>
        <w:t xml:space="preserve"> </w:t>
      </w:r>
      <w:r>
        <w:t xml:space="preserve">[Tyrving table: Scoring table for youth athletics]. https://www.friidrett.no/tyrving</w:t>
      </w:r>
    </w:p>
    <w:p>
      <w:pPr>
        <w:pStyle w:val="BodyText"/>
      </w:pPr>
      <w:r>
        <w:t xml:space="preserve">Norges Idrettsforbund. (2024).</w:t>
      </w:r>
      <w:r>
        <w:t xml:space="preserve"> </w:t>
      </w:r>
      <w:r>
        <w:rPr>
          <w:i/>
          <w:iCs/>
        </w:rPr>
        <w:t xml:space="preserve">Nøkkeltall 2023: Medlemskap, aktivitet og økonomi i norsk idrett</w:t>
      </w:r>
      <w:r>
        <w:t xml:space="preserve"> </w:t>
      </w:r>
      <w:r>
        <w:t xml:space="preserve">[Key statistics 2023: Membership, activity and economy in Norwegian sport]. https://www.idrettsforbundet.no</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 12</w:t>
      </w:r>
      <w:r>
        <w:t xml:space="preserve">, 2825–2830.</w:t>
      </w:r>
    </w:p>
    <w:p>
      <w:pPr>
        <w:pStyle w:val="BodyText"/>
      </w:pPr>
      <w:r>
        <w:t xml:space="preserve">Peringa, I. P., Niessen, A. S. M., Meijer, R. R., &amp; den Hartigh, R. J. R. (2026). Why experience fails to foster expertise in athlete selection.</w:t>
      </w:r>
      <w:r>
        <w:t xml:space="preserve"> </w:t>
      </w:r>
      <w:r>
        <w:rPr>
          <w:i/>
          <w:iCs/>
        </w:rPr>
        <w:t xml:space="preserve">Psychology of Sport and Exercise, 82</w:t>
      </w:r>
      <w:r>
        <w:t xml:space="preserve">, Article 103022. https://doi.org/10.1016/j.psychsport.2025.103022</w:t>
      </w:r>
    </w:p>
    <w:p>
      <w:pPr>
        <w:pStyle w:val="BodyText"/>
      </w:pPr>
      <w:r>
        <w:t xml:space="preserve">Ryan, R. M., &amp; Deci, E. L. (2000). Self-determination theory and the facilitation of intrinsic motivation, social development, and well-being.</w:t>
      </w:r>
      <w:r>
        <w:t xml:space="preserve"> </w:t>
      </w:r>
      <w:r>
        <w:rPr>
          <w:i/>
          <w:iCs/>
        </w:rPr>
        <w:t xml:space="preserve">American Psychologist, 55</w:t>
      </w:r>
      <w:r>
        <w:t xml:space="preserve">(1), 68–78. https://doi.org/10.1037/0003-066X.55.1.68</w:t>
      </w:r>
    </w:p>
    <w:p>
      <w:pPr>
        <w:pStyle w:val="BodyText"/>
      </w:pPr>
      <w:r>
        <w:t xml:space="preserve">Sarrazin, P., Vallerand, R. J., Guillet, E., Pelletier, L. G., &amp; Cury, F. (2002). Motivation and dropout in female handballers: A 21-month prospective study.</w:t>
      </w:r>
      <w:r>
        <w:t xml:space="preserve"> </w:t>
      </w:r>
      <w:r>
        <w:rPr>
          <w:i/>
          <w:iCs/>
        </w:rPr>
        <w:t xml:space="preserve">European Journal of Social Psychology, 32</w:t>
      </w:r>
      <w:r>
        <w:t xml:space="preserve">(3), 395–418. https://doi.org/10.1002/ejsp.98</w:t>
      </w:r>
    </w:p>
    <w:p>
      <w:pPr>
        <w:pStyle w:val="BodyText"/>
      </w:pPr>
      <w:r>
        <w:t xml:space="preserve">Scanlan, T. K., Carpenter, P. J., Simons, J. P., Schmidt, G. W., &amp; Keeler, B. (1993). An introduction to the sport commitment model.</w:t>
      </w:r>
      <w:r>
        <w:t xml:space="preserve"> </w:t>
      </w:r>
      <w:r>
        <w:rPr>
          <w:i/>
          <w:iCs/>
        </w:rPr>
        <w:t xml:space="preserve">Journal of Sport &amp; Exercise Psychology, 15</w:t>
      </w:r>
      <w:r>
        <w:t xml:space="preserve">(1), 1–15. https://doi.org/10.1123/jsep.15.1.1</w:t>
      </w:r>
    </w:p>
    <w:p>
      <w:pPr>
        <w:pStyle w:val="BodyText"/>
      </w:pPr>
      <w:r>
        <w:t xml:space="preserve">Scanlan, T. K., Chow, G. M., Sousa, C., Scanlan, L. A., &amp; Knifsend, C. A. (2016). The development of the Sport Commitment Questionnaire-2 (English version).</w:t>
      </w:r>
      <w:r>
        <w:t xml:space="preserve"> </w:t>
      </w:r>
      <w:r>
        <w:rPr>
          <w:i/>
          <w:iCs/>
        </w:rPr>
        <w:t xml:space="preserve">Psychology of Sport and Exercise, 22</w:t>
      </w:r>
      <w:r>
        <w:t xml:space="preserve">, 233–246. https://doi.org/10.1016/j.psychsport.2015.08.002</w:t>
      </w:r>
    </w:p>
    <w:p>
      <w:pPr>
        <w:pStyle w:val="BodyText"/>
      </w:pPr>
      <w:r>
        <w:t xml:space="preserve">Schacter, D. L. (2001).</w:t>
      </w:r>
      <w:r>
        <w:t xml:space="preserve"> </w:t>
      </w:r>
      <w:r>
        <w:rPr>
          <w:i/>
          <w:iCs/>
        </w:rPr>
        <w:t xml:space="preserve">The seven sins of memory: How the mind forgets and remembers</w:t>
      </w:r>
      <w:r>
        <w:t xml:space="preserve">. Houghton Mifflin.</w:t>
      </w:r>
    </w:p>
    <w:p>
      <w:pPr>
        <w:pStyle w:val="BodyText"/>
      </w:pPr>
      <w:r>
        <w:t xml:space="preserve">Standage, M. (2012). Motivation: Self-determination theory and performance in sport. In S. M. Murphy (Ed.),</w:t>
      </w:r>
      <w:r>
        <w:t xml:space="preserve"> </w:t>
      </w:r>
      <w:r>
        <w:rPr>
          <w:i/>
          <w:iCs/>
        </w:rPr>
        <w:t xml:space="preserve">The Oxford handbook of sport and performance psychology</w:t>
      </w:r>
      <w:r>
        <w:t xml:space="preserve"> </w:t>
      </w:r>
      <w:r>
        <w:t xml:space="preserve">(pp. 233–249). Oxford University Press. https://doi.org/10.1093/oxfordhb/9780199731763.013.0012</w:t>
      </w:r>
    </w:p>
    <w:p>
      <w:pPr>
        <w:pStyle w:val="BodyText"/>
      </w:pPr>
      <w:r>
        <w:t xml:space="preserve">Vallerand, R. J. (2007). A hierarchical model of intrinsic and extrinsic motivation for sport and physical activity. In M. S. Hagger &amp; N. L. D. Chatzisarantis (Eds.),</w:t>
      </w:r>
      <w:r>
        <w:t xml:space="preserve"> </w:t>
      </w:r>
      <w:r>
        <w:rPr>
          <w:i/>
          <w:iCs/>
        </w:rPr>
        <w:t xml:space="preserve">Intrinsic motivation and self-determination in exercise and sport</w:t>
      </w:r>
      <w:r>
        <w:t xml:space="preserve"> </w:t>
      </w:r>
      <w:r>
        <w:t xml:space="preserve">(pp. 255–279). Human Kinetics.</w:t>
      </w:r>
    </w:p>
    <w:p>
      <w:pPr>
        <w:pStyle w:val="BodyText"/>
      </w:pPr>
      <w:r>
        <w:t xml:space="preserve">van Houwelingen, H. C. (2007). Dynamic prediction by landmarking in event history analysis.</w:t>
      </w:r>
      <w:r>
        <w:t xml:space="preserve"> </w:t>
      </w:r>
      <w:r>
        <w:rPr>
          <w:i/>
          <w:iCs/>
        </w:rPr>
        <w:t xml:space="preserve">Scandinavian Journal of Statistics, 34</w:t>
      </w:r>
      <w:r>
        <w:t xml:space="preserve">(1), 70–85. https://doi.org/10.1111/j.1467-9469.2006.00529.x</w:t>
      </w:r>
    </w:p>
    <w:p>
      <w:pPr>
        <w:pStyle w:val="BodyText"/>
      </w:pPr>
      <w:r>
        <w:t xml:space="preserve">VanderWeele, T. J., &amp; Ding, P. (2017). Sensitivity analysis in observational research: Introducing the E-value.</w:t>
      </w:r>
      <w:r>
        <w:t xml:space="preserve"> </w:t>
      </w:r>
      <w:r>
        <w:rPr>
          <w:i/>
          <w:iCs/>
        </w:rPr>
        <w:t xml:space="preserve">Annals of Internal Medicine, 167</w:t>
      </w:r>
      <w:r>
        <w:t xml:space="preserve">(4), 268–274. https://doi.org/10.7326/M16-2607</w:t>
      </w:r>
    </w:p>
    <w:p>
      <w:pPr>
        <w:pStyle w:val="BodyText"/>
      </w:pPr>
      <w:r>
        <w:t xml:space="preserve">von Elm, E., Altman, D. G., Egger, M., Pocock, S. J., Gøtzsche, P. C., &amp; Vandenbroucke, J. P. (2007). The Strengthening the Reporting of Observational Studies in Epidemiology (STROBE) statement: Guidelines for reporting observational studies.</w:t>
      </w:r>
      <w:r>
        <w:t xml:space="preserve"> </w:t>
      </w:r>
      <w:r>
        <w:rPr>
          <w:i/>
          <w:iCs/>
        </w:rPr>
        <w:t xml:space="preserve">Annals of Internal Medicine, 147</w:t>
      </w:r>
      <w:r>
        <w:t xml:space="preserve">(8), 573–577. https://doi.org/10.7326/0003-4819-147-8-200710160-00010</w:t>
      </w:r>
    </w:p>
    <w:p>
      <w:pPr>
        <w:pStyle w:val="BodyText"/>
      </w:pPr>
      <w:r>
        <w:t xml:space="preserve">Wall, M., &amp; Côté, J. (2007). Developmental activities that lead to dropout and investment in sport.</w:t>
      </w:r>
      <w:r>
        <w:t xml:space="preserve"> </w:t>
      </w:r>
      <w:r>
        <w:rPr>
          <w:i/>
          <w:iCs/>
        </w:rPr>
        <w:t xml:space="preserve">Physical Education and Sport Pedagogy, 12</w:t>
      </w:r>
      <w:r>
        <w:t xml:space="preserve">(1), 77–87. https://doi.org/10.1080/17408980601060358</w:t>
      </w:r>
    </w:p>
    <w:p>
      <w:pPr>
        <w:pStyle w:val="BodyText"/>
      </w:pPr>
      <w:r>
        <w:t xml:space="preserve">Worley, J. T., &amp; Smith, A. L. (2026). Positive peer relationships, social identity, and adaptive sport motivation in youth athletes.</w:t>
      </w:r>
      <w:r>
        <w:t xml:space="preserve"> </w:t>
      </w:r>
      <w:r>
        <w:rPr>
          <w:i/>
          <w:iCs/>
        </w:rPr>
        <w:t xml:space="preserve">Psychology of Sport and Exercise, 82</w:t>
      </w:r>
      <w:r>
        <w:t xml:space="preserve">, Article 102996. https://doi.org/10.1016/j.psychsport.2025.102996</w:t>
      </w:r>
    </w:p>
    <w:p>
      <w:pPr>
        <w:pStyle w:val="BodyText"/>
      </w:pPr>
      <w:r>
        <w:t xml:space="preserve">Zhong, J., Wang, Q., Bao, H., Wang, Y., &amp; Guo, S. (2026). Effects of basic psychological needs on Chinese youth athlete burnout under coach burnout: Using hierarchical linear modeling.</w:t>
      </w:r>
      <w:r>
        <w:t xml:space="preserve"> </w:t>
      </w:r>
      <w:r>
        <w:rPr>
          <w:i/>
          <w:iCs/>
        </w:rPr>
        <w:t xml:space="preserve">Psychology of Sport and Exercise, 85</w:t>
      </w:r>
      <w:r>
        <w:t xml:space="preserve">, Article 103099. https://doi.org/10.1016/j.psychsport.2026.103099</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2026-05-23T20:59:06Z</dcterms:created>
  <dcterms:modified xsi:type="dcterms:W3CDTF">2026-05-23T20:59:06Z</dcterms:modified>
</cp:coreProperties>
</file>

<file path=docProps/custom.xml><?xml version="1.0" encoding="utf-8"?>
<Properties xmlns="http://schemas.openxmlformats.org/officeDocument/2006/custom-properties" xmlns:vt="http://schemas.openxmlformats.org/officeDocument/2006/docPropsVTypes"/>
</file>