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Future dropouts from youth sport are thought to pull back from competition before formal exit, but the longitudinal behavioral signature of this withdrawal process has been hard to observe directly. We used Norway’s national competition register to follow 2,123 athletes who competed as 13–14-year-olds in a regional youth track-and-field meet (birth years 1998–2002) for up to 14 years, recording annual competition volume, event diversification, championship participation, and age-norm (Tyrving) performance through 2025. The primary analysis was a prospective logistic regression for active senior status (≥2 registered results in a calendar year at age 20+) using only ages-13–14 predictors. Competition volume at ages 13–14 provided the largest incremental contribution to discrimination (OR = 2.40 per SD, 95% CI [2.07, 2.78]; cross-validated AUC = 0.751), was unchanged by structural controls (region, birth quarter, club size), and replicated across two independent birth cohorts. Volume level at age 14 (OR = 2.79) and within-athlete decline from age 14 to 15 (OR = 2.44) contributed independently, and behavior outperformed performance even when both were measured in the same window. Higher within-sport event concentration predicted higher retention — a different construct from multisport diversification. A register-implementable threshold at the end of the age-14 season flags high-risk athletes with PPV ≈ 0.94, giving clubs and federations an early-warning window of several years for retention-supporting intervention.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potential benefits for physical health, psychosocial development, and social connection — although reviews emphasize that these benefits are conditional on the quality of the sport experience rather than automatic.</w:t>
      </w:r>
      <w:r>
        <w:t xml:space="preserve">1</w:t>
      </w:r>
      <w:r>
        <w:t xml:space="preserve"> </w:t>
      </w:r>
      <w:r>
        <w:t xml:space="preserve">Attrition from organized competition during adolescence is substantial across countries and sports,</w:t>
      </w:r>
      <w:r>
        <w:t xml:space="preserve">2</w:t>
      </w:r>
      <w:r>
        <w:t xml:space="preserve"> </w:t>
      </w:r>
      <w:r>
        <w:t xml:space="preserve">and track and field is no exception: in a 25-year Norwegian follow-up, 82% of promising track and field athletes identified in adolescence had left the sport within 14 years,</w:t>
      </w:r>
      <w:r>
        <w:t xml:space="preserve">3</w:t>
      </w:r>
      <w:r>
        <w:t xml:space="preserve"> </w:t>
      </w:r>
      <w:r>
        <w:t xml:space="preserve">and in Norwegian youth athletics more broadly — a broad-participation individual sport that progressively narrows into a talent-selective pathway during the teens — over half of the children who compete at age 13 have stopped competing in organized track and field by age 17.</w:t>
      </w:r>
      <w:r>
        <w:t xml:space="preserve">4,5</w:t>
      </w:r>
    </w:p>
    <w:p>
      <w:pPr>
        <w:pStyle w:val="BodyText"/>
      </w:pPr>
      <w:r>
        <w:t xml:space="preserve">Terminology in this literature is often ambiguous, so we fix ours at the outset. Following Battaglia et al.,</w:t>
      </w:r>
      <w:r>
        <w:t xml:space="preserve">6</w:t>
      </w:r>
      <w:r>
        <w:t xml:space="preserve"> </w:t>
      </w:r>
      <w:r>
        <w:t xml:space="preserve">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using the methods researchers currently use.</w:t>
      </w:r>
    </w:p>
    <w:bookmarkEnd w:id="10"/>
    <w:bookmarkStart w:id="11" w:name="Xaa125b98d4201074f48641b593d8557f7166e49"/>
    <w:p>
      <w:pPr>
        <w:pStyle w:val="Heading2"/>
      </w:pPr>
      <w:r>
        <w:t xml:space="preserve">1.1 Dropout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t xml:space="preserve">7</w:t>
      </w:r>
      <w:r>
        <w:t xml:space="preserve"> </w:t>
      </w:r>
      <w:r>
        <w:t xml:space="preserve">so some form of decline over a period of time should be expected. The Sport Commitment Model</w:t>
      </w:r>
      <w:r>
        <w:t xml:space="preserve">8,9</w:t>
      </w:r>
      <w:r>
        <w:t xml:space="preserve"> </w:t>
      </w:r>
      <w:r>
        <w:t xml:space="preserve">describes how the willingness to continue is shaped by enjoyment of the activity, personal investment, barriers to participation, and available alternatives; Meaningful Engagement Theory</w:t>
      </w:r>
      <w:r>
        <w:t xml:space="preserve">10</w:t>
      </w:r>
      <w:r>
        <w:t xml:space="preserve"> </w:t>
      </w:r>
      <w:r>
        <w:t xml:space="preserve">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t xml:space="preserve">7</w:t>
      </w:r>
      <w:r>
        <w:t xml:space="preserve"> </w:t>
      </w:r>
      <w:r>
        <w:t xml:space="preserve">applied Ebaugh’s</w:t>
      </w:r>
      <w:r>
        <w:t xml:space="preserve">11</w:t>
      </w:r>
      <w:r>
        <w:t xml:space="preserve"> </w:t>
      </w:r>
      <w:r>
        <w:t xml:space="preserve">role-exit framework — in which leaving a social role proceeds through stages of first doubts, seeking and weighing alternatives, a turning point, and the construction of an ex-role identity — to youth sport, interviewing adolescent girls and their parents. They found that withdrawal resulted from interacting changes in the sport organization, in the athletes’ broader lives, and in the expectations attached to the young-athlete role, and that the disengagement process could be long and emotionally demanding, becoming less reversible the further it progressed. Survey evidence from Norwegian youth complements this picture: stated reasons for leaving organized sport are diverse and patterned by social background, with cost-related reasons cited more often by youth from lower-income families.</w:t>
      </w:r>
      <w:r>
        <w:t xml:space="preserve">12</w:t>
      </w:r>
    </w:p>
    <w:p>
      <w:pPr>
        <w:pStyle w:val="BodyText"/>
      </w:pPr>
      <w:r>
        <w:t xml:space="preserve">Groups of athletes also appear to differ in how they respond when competitive demands increase. Espedalen</w:t>
      </w:r>
      <w:r>
        <w:t xml:space="preserve">13</w:t>
      </w:r>
      <w:r>
        <w:t xml:space="preserve"> </w:t>
      </w:r>
      <w:r>
        <w:t xml:space="preserve">describes a small minority of deeply and intrinsically committed participants in Norwegian organized youth sport alongside a larger group who take part for more casual enjoyment and who readily reprioritize when sport becomes more demanding. 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w:t>
      </w:r>
      <w:r>
        <w:t xml:space="preserve">14</w:t>
      </w:r>
      <w:r>
        <w:t xml:space="preserve"> </w:t>
      </w:r>
      <w:r>
        <w:t xml:space="preserve">We therefore expect that more casually engaged participants will show declining levels of participation as they move through their teenage years and into junior status, while deeply committed participants will sustain higher levels of participation.</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t xml:space="preserve">1</w:t>
      </w:r>
      <w:r>
        <w:t xml:space="preserve"> </w:t>
      </w:r>
      <w:r>
        <w:t xml:space="preserve">and the hypothesized timescale (1–3 years) exceeds most prospective follow-up windows — Sarrazin et al.’s</w:t>
      </w:r>
      <w:r>
        <w:t xml:space="preserve">15</w:t>
      </w:r>
      <w:r>
        <w:t xml:space="preserve"> </w:t>
      </w:r>
      <w:r>
        <w:t xml:space="preserve">21-month handball study is unusually long and still does not bridge the adolescent-to-junior transition. A separate quantitative tradition focuses on cross-sectional correlates (relative age effects,</w:t>
      </w:r>
      <w:r>
        <w:t xml:space="preserve">16</w:t>
      </w:r>
      <w:r>
        <w:t xml:space="preserve"> </w:t>
      </w:r>
      <w:r>
        <w:t xml:space="preserve">early specialization</w:t>
      </w:r>
      <w:r>
        <w:t xml:space="preserve">17–20</w:t>
      </w:r>
      <w:r>
        <w:t xml:space="preserve">) and short longitudinal designs measuring proximal psychological constructs.</w:t>
      </w:r>
      <w:r>
        <w:t xml:space="preserve">21–23</w:t>
      </w:r>
      <w:r>
        <w:t xml:space="preserve"> </w:t>
      </w:r>
      <w:r>
        <w:t xml:space="preserve">The trajectory of registered competition behavior — an observable proxy for the engagement balance described in the qualitative literature — has not, to our knowledge, been examined.</w:t>
      </w:r>
    </w:p>
    <w:bookmarkEnd w:id="12"/>
    <w:bookmarkStart w:id="13" w:name="the-present-study"/>
    <w:p>
      <w:pPr>
        <w:pStyle w:val="Heading2"/>
      </w:pPr>
      <w:r>
        <w:t xml:space="preserve">1.3 The present study</w:t>
      </w:r>
    </w:p>
    <w:p>
      <w:pPr>
        <w:pStyle w:val="FirstParagraph"/>
      </w:pPr>
      <w:r>
        <w:t xml:space="preserve">Track and field is well suited for such a test: its multi-event structure means participation choices are visible event by event, entries are individually chosen rather than coach-selected (see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t xml:space="preserve">7,11</w:t>
      </w:r>
      <w:r>
        <w:t xml:space="preserve"> </w:t>
      </w:r>
      <w:r>
        <w:t xml:space="preserve">and because casually and deeply engaged participants are expected to respond differently to rising competitive demands,</w:t>
      </w:r>
      <w:r>
        <w:t xml:space="preserve">13</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begin to diverge prior to formal exit. Second, because the determinants of sport commitment are experiential and volitional — enjoyment, investment, alternatives, constraint — rather than ability-based,</w:t>
      </w:r>
      <w:r>
        <w:t xml:space="preserve">8,9</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if the pattern reflects a general feature of youth disengagement rather than a cohort-specific artefact, it should</w:t>
      </w:r>
      <w:r>
        <w:t xml:space="preserve"> </w:t>
      </w:r>
      <w:r>
        <w:rPr>
          <w:i/>
          <w:iCs/>
        </w:rPr>
        <w:t xml:space="preserve">replicate</w:t>
      </w:r>
      <w:r>
        <w:t xml:space="preserve"> </w:t>
      </w:r>
      <w:r>
        <w:t xml:space="preserve">across the two independent birth-year cohorts. Our design views</w:t>
      </w:r>
      <w:r>
        <w:t xml:space="preserve"> </w:t>
      </w:r>
      <w:r>
        <w:rPr>
          <w:i/>
          <w:iCs/>
        </w:rPr>
        <w:t xml:space="preserve">competition behavior</w:t>
      </w:r>
      <w:r>
        <w:t xml:space="preserve"> </w:t>
      </w:r>
      <w:r>
        <w:t xml:space="preserve">as an empirically observable behavioral indicator — not a direct measure of motivation — whose temporal structure can be compared with process-based explanations supported so far by cross-sectional or short-prospective evidence;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using the national competition register as the only data source. The cohort is the entire population satisfying the inclusion criterion rather than a sample, so estimates describe that population. We follow the Strengthening the Reporting of Observational Studies in Epidemiology (STROBE) guideline where relevant.</w:t>
      </w:r>
      <w:r>
        <w:t xml:space="preserve">24</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design-relevant consequences follow. First, before age 15 the number of meets an athlete attends primarily expresses the athlete’s own choice rather than selection, team-roster decisions, or entry costs — which is what licenses interpreting competition volume at ages 13–14 as a behavioral indicator of engagement. Second, the ages-15–16 window coincides with the first selective gate (UM), which is why the analyses treat the pre-milestone (13–14) and milestone (15–16) windows separately.</w:t>
      </w:r>
    </w:p>
    <w:p>
      <w:pPr>
        <w:pStyle w:val="BodyText"/>
      </w:pPr>
      <w:r>
        <w:t xml:space="preserve">The cohort comprises all athletes who competed in any of six consecutive autumn editions (2011–2016) of a regional grassroots youth meet held simultaneously at three venues in eastern, mid, and western Norway. Athletes were aged 13–14 and entered through their club, with no qualifying threshold; the baseline cohort therefore consists of adolescents already engaged with organized track and field, so disengagement trajectories arise from a baseline of demonstrable engagement. We restricted the birth-year window to 1998–2002; boundary birth years (1997, 2003) were omitted because they had only a single eligible edition, and athletes appearing in both a 13- and a 14-year-old edition were de-duplicated to the earlier one (flow diagram: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age from which athletes compete as seniors), and 0 otherwise; requiring two results excludes sporadic returners while capturing athletes who compete in separate events within a single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transformed into its age-norm score in Tyrving points, the Norwegian Athletics Federation’s youth scoring system,</w:t>
      </w:r>
      <w:r>
        <w:t xml:space="preserve">25</w:t>
      </w:r>
      <w:r>
        <w:t xml:space="preserve"> </w:t>
      </w:r>
      <w:r>
        <w:t xml:space="preserve">computed from a published table giving, for each event × sex × age combination, a reference performance equivalent to 1,000 points and a per-unit-change quotient. Points were capped at 1,500 to suppress data-entry errors. We computed tyrving_best (baseline maximum), tyrving_mean, tyrving_peak_pre15, and tyrving_slope_13_16 (OLS slope across ages 13–16).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across k categories) to 1 (single category). Key variables: hhi_early (first three active seasons), hhi_age_15, and hhi_change = hhi_age_15 − hhi_age_13. Combined events (e.g., pentathlon) appear in the register both as a combined-event total and as separate results for each constituent discipline; constituent results are counted in their natural categories, so multi-event athletes are represented as diversified, and stand-alone combined-event rows were rare (&lt;0.1% of results). Some categories co-occur more naturally than others (e.g., sprints and hurdles share training demands, whereas throws transfer little to other categories); the HHI treats categories symmetrically, and we return to this in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total results (res_age_X), and a year-round indicator (competing both outdoors and indoors; year_round_age_X). Composites: vol_pre_milestone (meets at ages 13–14), vol_milestone (ages 15–16), vol_trend_milestone (their difference), and n_champ_types (championship types entered before age 17). These are observable behavioral markers of engagement,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discrimination was assessed by 5-fold stratified cross-validated AUC.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(n = 1,914) including both the volume level at age 14 and the change from age 14 to 15: if pull-back conditional on level predicts retention, both coefficients should be significant (Supplementary Table S14). Prospective early-warning thresholds on pre-milestone volume (sensitivity, specificity, and predictive values at five candidate cut-offs, applied at the end of the age-14 season)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t xml:space="preserve">26</w:t>
      </w:r>
      <w:r>
        <w:t xml:space="preserve"> </w:t>
      </w:r>
      <w:r>
        <w:t xml:space="preserve">with a baseline-only primary specification (Supplementary Table S16), a landmark analysis among athletes active at age 16,</w:t>
      </w:r>
      <w:r>
        <w:t xml:space="preserve">27</w:t>
      </w:r>
      <w:r>
        <w:t xml:space="preserve"> </w:t>
      </w:r>
      <w:r>
        <w:t xml:space="preserve">and a post-baseline specification interpreted with caveats about operational overlap (Supplementary Table S8; Table 5). Proportional-hazards checks, E-values,</w:t>
      </w:r>
      <w:r>
        <w:t xml:space="preserve">28</w:t>
      </w:r>
      <w:r>
        <w:t xml:space="preserve"> </w:t>
      </w:r>
      <w:r>
        <w:t xml:space="preserve">cluster-robust standard errors, and period- and sex-specific estimates are detailed in the Supplementary Methods. Hazard ratios are descriptive associations,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per SD — well below effect sizes typical of prior dropout research. Missing values (Tyrving ~20%, HHI ~10%) were handled by complete-case analysis (n = 1,704), with mean-imputation and club-clustered standard errors as sensitivity checks (Supplementary Tables S5, S2). The primary and secondary models were re-estimated separately by birth cohort, and a random forest</w:t>
      </w:r>
      <w:r>
        <w:t xml:space="preserve">29</w:t>
      </w:r>
      <w:r>
        <w:t xml:space="preserve"> </w:t>
      </w:r>
      <w:r>
        <w:t xml:space="preserve">(500 trees, maximum depth 8) provided convergent variable-importance evidence.</w:t>
      </w:r>
    </w:p>
    <w:bookmarkEnd w:id="28"/>
    <w:bookmarkStart w:id="29" w:name="software"/>
    <w:p>
      <w:pPr>
        <w:pStyle w:val="Heading3"/>
      </w:pPr>
      <w:r>
        <w:t xml:space="preserve">2.5.6 Software</w:t>
      </w:r>
    </w:p>
    <w:p>
      <w:pPr>
        <w:pStyle w:val="FirstParagraph"/>
      </w:pPr>
      <w:r>
        <w:t xml:space="preserve">Analyses used Python 3.13 with lifelines</w:t>
      </w:r>
      <w:r>
        <w:t xml:space="preserve">30</w:t>
      </w:r>
      <w:r>
        <w:t xml:space="preserve"> </w:t>
      </w:r>
      <w:r>
        <w:t xml:space="preserve">and scikit-learn</w:t>
      </w:r>
      <w:r>
        <w:t xml:space="preserve">31</w:t>
      </w:r>
      <w:r>
        <w:t xml:space="preserve">; figures used matplotlib.</w:t>
      </w:r>
      <w:r>
        <w:t xml:space="preserve">32</w:t>
      </w:r>
      <w:r>
        <w:t xml:space="preserve"> </w:t>
      </w:r>
      <w:r>
        <w:t xml:space="preserve">Analysis code will be deposited in a public repository upon acceptance. The underlying competition records are publicly accessible via the federation’s online register; the derived dataset contains personal data (dates of birth) and cannot be redistributed under the EU General Data Protection Regulation (GDPR).</w:t>
      </w:r>
    </w:p>
    <w:bookmarkEnd w:id="29"/>
    <w:bookmarkEnd w:id="30"/>
    <w:bookmarkStart w:id="31" w:name="sex-and-gender"/>
    <w:p>
      <w:pPr>
        <w:pStyle w:val="Heading2"/>
      </w:pPr>
      <w:r>
        <w:t xml:space="preserve">2.6 Sex and gender</w:t>
      </w:r>
    </w:p>
    <w:p>
      <w:pPr>
        <w:pStyle w:val="FirstParagraph"/>
      </w:pPr>
      <w:r>
        <w:t xml:space="preserve">Following SAGER guidance,</w:t>
      </w:r>
      <w:r>
        <w:t xml:space="preserve">33</w:t>
      </w:r>
      <w:r>
        <w:t xml:space="preserve"> </w:t>
      </w:r>
      <w:r>
        <w:t xml:space="preserve">all primary analyses include sex as a covariate, with sex-stratified analyses in supplementary material (Supplementary Table S7). We use</w:t>
      </w:r>
      <w:r>
        <w:t xml:space="preserve"> </w:t>
      </w:r>
      <w:r>
        <w:t xml:space="preserve">“sex”</w:t>
      </w:r>
      <w:r>
        <w:t xml:space="preserve"> </w:t>
      </w:r>
      <w:r>
        <w:t xml:space="preserve">because the federation registers a binary sex variable at registration; the register contains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on demographic and performance distributions (mean Tyrving best 666 in each; ~41% active at age 17 in each; Table 1). Senior retention (≥1 active season at age 20+) was 15.8% in Cohort A and 17.3% in Cohort B (combined 16.4%). The proportion still active in 2024+ was 5.8% (A) and 10.8% (B), reflecting Cohort B’s shorter follow-up.</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diverge further from age 15: retainers peak at 19 meets at age 15 and sustain that level through age 17, while future dropouts decline from 8 meets at age 14 to 3 at age 15 and 0 thereafter. Two complementary patterns are visible: substantial baseline differences between the groups already at ages 13–14, and a progressive within-athlete pull-back among future dropouts, most visible across the age-14-to-15 transition. We test these separately in Section 3.5.</w:t>
      </w:r>
    </w:p>
    <w:p>
      <w:pPr>
        <w:pStyle w:val="BodyText"/>
      </w:pPr>
      <w:r>
        <w:t xml:space="preserve">Kaplan–Meier curves summarize the same attrition in time-to-event form: half the cohort had ceased active competition within 3 years and 75% within 5, with the steepest dropout at age 17, the youth-to-junior transition (Supplementary Figure S3). Sex-stratified curves overlap (log-rank χ² = 0.95,</w:t>
      </w:r>
      <w:r>
        <w:t xml:space="preserve"> </w:t>
      </w:r>
      <w:r>
        <w:rPr>
          <w:i/>
          <w:iCs/>
        </w:rPr>
        <w:t xml:space="preserve">p</w:t>
      </w:r>
      <w:r>
        <w:t xml:space="preserve"> </w:t>
      </w:r>
      <w:r>
        <w:t xml:space="preserve">= .33). Stratifying descriptively by competition volume across ages 15–16 yields monotonically separated curves — 71% senior retention among athletes with ≥31 meets vs. 4% among those with none (Figure 3) — and stratifying by pre-17 championship types shows the same pattern (Supplementary Figure S4).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[2.07, 2.78],</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and 5-fold cross-validated AUC (Table 3). Sex alone discriminated near chance (CV-AUC = 0.541); adding baseline Tyrving performance raised AUC modestly to 0.607; adding early specialization (HHI) added nothing further (0.600); adding pre-milestone volume raised AUC substantially to 0.751. Once volume was entered, HHI became significantly associated with retention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23b1f15ebb3a7f8f56f8cd097e9c0f697eb6923"/>
    <w:p>
      <w:pPr>
        <w:pStyle w:val="Heading2"/>
      </w:pPr>
      <w:r>
        <w:t xml:space="preserve">3.4 Structural controls do not change the picture</w:t>
      </w:r>
    </w:p>
    <w:p>
      <w:pPr>
        <w:pStyle w:val="FirstParagraph"/>
      </w:pPr>
      <w:r>
        <w:t xml:space="preserve">Adding region (3-level), birth-quarter indicators (Q1/Q4), and standardized club size to the full Table 3 model left the volume coefficient unchanged (OR = 2.40 with and without controls), and no structural covariate was significantly associated with retention (all</w:t>
      </w:r>
      <w:r>
        <w:t xml:space="preserve"> </w:t>
      </w:r>
      <w:r>
        <w:rPr>
          <w:i/>
          <w:iCs/>
        </w:rPr>
        <w:t xml:space="preserve">p</w:t>
      </w:r>
      <w:r>
        <w:t xml:space="preserve"> </w:t>
      </w:r>
      <w:r>
        <w:t xml:space="preserve">&gt; .14; Supplementary Table S13).</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The trajectories in Figure 2 are consistent with two readings: future retainers and dropouts as distinct</w:t>
      </w:r>
      <w:r>
        <w:t xml:space="preserve"> </w:t>
      </w:r>
      <w:r>
        <w:rPr>
          <w:i/>
          <w:iCs/>
        </w:rPr>
        <w:t xml:space="preserve">behavioral typologies</w:t>
      </w:r>
      <w:r>
        <w:t xml:space="preserve"> </w:t>
      </w:r>
      <w:r>
        <w:t xml:space="preserve">visible already at ages 13–14, or a</w:t>
      </w:r>
      <w:r>
        <w:t xml:space="preserve"> </w:t>
      </w:r>
      <w:r>
        <w:rPr>
          <w:i/>
          <w:iCs/>
        </w:rPr>
        <w:t xml:space="preserve">within-athlete pull-back</w:t>
      </w:r>
      <w:r>
        <w:t xml:space="preserve"> </w:t>
      </w:r>
      <w:r>
        <w:t xml:space="preserve">across the age-14-to-15 transition. We entered baseline level (volume at age 14) and within-athlete change (volume at age 15 minus age 14) into one logistic regression, restricted to athletes still active at age 14 (n = 1,914; Table 4). The age-14 level was strongly associated with retention (OR = 2.79 per SD, 95% CI [2.37, 3.28],</w:t>
      </w:r>
      <w:r>
        <w:t xml:space="preserve"> </w:t>
      </w:r>
      <w:r>
        <w:rPr>
          <w:i/>
          <w:iCs/>
        </w:rPr>
        <w:t xml:space="preserve">p</w:t>
      </w:r>
      <w:r>
        <w:t xml:space="preserve"> </w:t>
      </w:r>
      <w:r>
        <w:t xml:space="preserve">&lt; .001) and the within-athlete change almost as strongly (OR = 2.44 per SD, 95% CI [2.10, 2.83],</w:t>
      </w:r>
      <w:r>
        <w:t xml:space="preserve"> </w:t>
      </w:r>
      <w:r>
        <w:rPr>
          <w:i/>
          <w:iCs/>
        </w:rPr>
        <w:t xml:space="preserve">p</w:t>
      </w:r>
      <w:r>
        <w:t xml:space="preserve"> </w:t>
      </w:r>
      <w:r>
        <w:t xml:space="preserve">&lt; .001) — a one-SD greater decline was associated with 2.4-times lower retention odds. Adding change to the level-only model more than doubled pseudo-</w:t>
      </w:r>
      <w:r>
        <w:rPr>
          <w:i/>
          <w:iCs/>
        </w:rPr>
        <w:t xml:space="preserve">R</w:t>
      </w:r>
      <w:r>
        <w:t xml:space="preserve">² (0.113 → 0.227).</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A concern with earlier framings was that post-baseline volume (ages 15–16) versus baseline performance (ages 13–14) gave the behavioral predictor a temporal advantage. In a fully time-aligned comparison — both measured at ages 13–14 — behavior still provides stronger discrimination: AUC = 0.607 for sex + baseline Tyrving, 0.740 for sex + ages-13–14 volume, 0.737 for both combined (Supplementary Table S15). Performance adds little once early volume is known.</w:t>
      </w:r>
    </w:p>
    <w:p>
      <w:pPr>
        <w:pStyle w:val="BodyText"/>
      </w:pPr>
      <w:r>
        <w:t xml:space="preserve">Competition volume and performance were positively but moderately correlated (pre-milestone volume vs. baseline Tyrving: Spearman ρ = .29; vs. peak Tyrving before age 15: ρ = .45; milestone-window volume vs. age-15 Tyrving: ρ = .48), sharing at most roughly a fifth of their variance.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Competition volume is thus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0.74; Supplementary Table S8); excluding athletes with milestone volume = 0 gave HR = 0.51 (Supplementary Table S11). The baseline-only Cox model is in Supplementary Table S16 and a period-specific decomposition in Table 5. The baseline-start Cox model with post-baseline covariates is not used as a primary estimate because predictor and at-risk window overlap.</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calibration metrics can be computed for a prospective rule applied at the end of the age-14 season (Table 6). At a moderate threshold (vol &lt; 10 meets across ages 13–14, flagging 26.4%), PPV = 0.94 and sensitivity = 0.30; lower thresholds (&lt; 5 meets; 9% flagged, PPV = 0.93) suit targeted outreach, higher thresholds (&lt; 15; 43% flagged, PPV = 0.93) broaden the screen. The high PPV partly reflects the 84% non-retention base rate; the behavioral threshold improves precision by ~10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1"/>
    <w:bookmarkStart w:id="42" w:name="specialization-is-protective-in-our-data"/>
    <w:p>
      <w:pPr>
        <w:pStyle w:val="Heading2"/>
      </w:pPr>
      <w:r>
        <w:t xml:space="preserve">3.9 Specialization is protective in our data</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1.35 per SD (95% CI [1.16, 1.57],</w:t>
      </w:r>
      <w:r>
        <w:t xml:space="preserve"> </w:t>
      </w:r>
      <w:r>
        <w:rPr>
          <w:i/>
          <w:iCs/>
        </w:rPr>
        <w:t xml:space="preserve">p</w:t>
      </w:r>
      <w:r>
        <w:t xml:space="preserve"> </w:t>
      </w:r>
      <w:r>
        <w:t xml:space="preserve">&lt; .001) in the primary regression, HR = 0.80 in the Cox model, and present in both cohorts (A OR = 1.24, B OR = 1.58). Athletes whose ages-13–14 results were concentrated in fewer event categories were</w:t>
      </w:r>
      <w:r>
        <w:t xml:space="preserve"> </w:t>
      </w:r>
      <w:r>
        <w:rPr>
          <w:i/>
          <w:iCs/>
        </w:rPr>
        <w:t xml:space="preserve">more</w:t>
      </w:r>
      <w:r>
        <w:t xml:space="preserve"> </w:t>
      </w:r>
      <w:r>
        <w:t xml:space="preserve">likely to retain. This index captures event-category concentration</w:t>
      </w:r>
      <w:r>
        <w:t xml:space="preserve"> </w:t>
      </w:r>
      <w:r>
        <w:rPr>
          <w:i/>
          <w:iCs/>
        </w:rPr>
        <w:t xml:space="preserve">within</w:t>
      </w:r>
      <w:r>
        <w:t xml:space="preserve"> </w:t>
      </w:r>
      <w:r>
        <w:t xml:space="preserve">track and field — a different construct from the multisport diversification studied in the elite-performance literature</w:t>
      </w:r>
      <w:r>
        <w:t xml:space="preserve">19,20</w:t>
      </w:r>
      <w:r>
        <w:t xml:space="preserve">; we develop the distinction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The effect was robust to outcome definition (ORs 2.79, 3.08, 2.94 across the three definitions; Supplementary Table S9), to cluster-robust SEs (Supplementary Table S2), and to unmeasured confounding: E-value = 5.16 (lower-CI E-value = 4.70) for the milestone-window volume effect (Supplementary Table S3), meaning an unmeasured confounder would need risk-ratio associations exceeding 5 with both predictor and outcome to nullify it — well above any observed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From this 14-year follow-up of 2,123 young athletes, four findings emerge. First, competition volume at ages 13–14 was strongly and prospectively associated with retaining senior competition. Second, the association replicated across both birth cohorts and withstood structural controls (region, birth quarter, club size). Third, the dropout signal decomposed into two independent components: early behavioral heterogeneity already visible at ages 13–14, and a within-athlete pull-back in the year preceding departure (Section 3.5). Fourth, higher event-category concentration within track and field was associated with higher retention — a different construct from, not a contradiction of, multisport diversification (§4.6). Cox time-to-cessation analyses reinforce these findings: among athletes still active at age 16, milestone-window volume remained strongly associated with subsequent cessation (HR = 0.60 per SD; HR = 0.14 in years 0–3).</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Supplementary Table S15): sex + Tyrving yielded AUC = 0.607, sex + pre-milestone volume 0.740, and adding Tyrving to volume added essentially nothing (0.737). Our reading is that performance reflects capability, while volume reflects the athlete’s own choices about how much to take part — a reading supported by the open-entry structure of Norwegian youth athletics, in which athletes decide what to enter and clubs cover entry fees (Section 2.2) — and that these choices matter more for disengagement than capability does.</w:t>
      </w:r>
    </w:p>
    <w:p>
      <w:pPr>
        <w:pStyle w:val="BodyText"/>
      </w:pPr>
      <w:r>
        <w:t xml:space="preserve">Two qualifications follow. There is an epistemic asymmetry: predictor and outcome both index registered competitive activity, so</w:t>
      </w:r>
      <w:r>
        <w:t xml:space="preserve"> </w:t>
      </w:r>
      <w:r>
        <w:t xml:space="preserve">“behavior outperforms performance”</w:t>
      </w:r>
      <w:r>
        <w:t xml:space="preserve"> </w:t>
      </w:r>
      <w:r>
        <w:t xml:space="preserve">describes the temporal structure through which disengagement becomes observable, not a causal mechanism; the results are consistent with an engagement-balance account but do not establish it. And low or declining volume can have causes unrelated to waning engagement. Cost is one: survey evidence shows cost-related reasons for leaving organized sport are cited more often by Norwegian youth from lower-income families.</w:t>
      </w:r>
      <w:r>
        <w:t xml:space="preserve">12</w:t>
      </w:r>
      <w:r>
        <w:t xml:space="preserve"> </w:t>
      </w:r>
      <w:r>
        <w:t xml:space="preserve">In the setting studied here this channel is attenuated — clubs ordinarily pay entry fees and travel distances are typically short (Section 2.2) — but not eliminated (membership fees, equipment, occasional longer travel), and the register holds no socioeconomic information, so resource-constrained and motivationally driven pull-back cannot be fully separated. Deliberate periodization — competing less in order to peak later — is another, but it is unlikely to explain the pattern: the decline unfolds across successive calendar years from age 14 onward rather than within a season, and it is followed by exit from the register rather than by a performance peak. The moderate volume–performance correlation and the within-stratum volume effects (Section 3.6) likewise argue against reading volume as a training-strategy artifact.</w:t>
      </w:r>
    </w:p>
    <w:bookmarkEnd w:id="46"/>
    <w:bookmarkStart w:id="47" w:name="Xe7fe343f385dc5d6988eaaeccab4c5e6fe92698"/>
    <w:p>
      <w:pPr>
        <w:pStyle w:val="Heading2"/>
      </w:pPr>
      <w:r>
        <w:t xml:space="preserve">4.3 There exists a pull-back effect — and also an early heterogeneity effect</w:t>
      </w:r>
    </w:p>
    <w:p>
      <w:pPr>
        <w:pStyle w:val="FirstParagraph"/>
      </w:pPr>
      <w:r>
        <w:t xml:space="preserve">Is the main effect a genuine within-athlete pull-back from a common starting point, or early differentiation between athletes on different trajectories? Descriptively, future retainers and dropouts already differed at ages 13–14 (median 13/17 vs. 8/8 meets), with the greatest divergence at ages 14–15 (Figure 2, Table 2). The level-and-change analysis (Section 3.5) shows that both effects exist: volume level at age 14 and change from age 14 to 15 each carried significant independent information, and model fit improved substantially when they were combined. Part of the dropout signal is thus early behavioral heterogeneity — consistent with retrospective evidence that future dropouts already differed from persisting peers in their developmental activities years before leaving</w:t>
      </w:r>
      <w:r>
        <w:t xml:space="preserve">14</w:t>
      </w:r>
      <w:r>
        <w:t xml:space="preserve"> </w:t>
      </w:r>
      <w:r>
        <w:t xml:space="preserve">— while an equally substantial part is a within-athlete pull-back among the not-yet-dropped-out in the year preceding formal departure.</w:t>
      </w:r>
    </w:p>
    <w:bookmarkEnd w:id="47"/>
    <w:bookmarkStart w:id="48" w:name="Xe78cd062346b33a8c4f007b530df92eb1d95dc1"/>
    <w:p>
      <w:pPr>
        <w:pStyle w:val="Heading2"/>
      </w:pPr>
      <w:r>
        <w:t xml:space="preserve">4.4 Consistent with process accounts of withdrawal</w:t>
      </w:r>
    </w:p>
    <w:p>
      <w:pPr>
        <w:pStyle w:val="FirstParagraph"/>
      </w:pPr>
      <w:r>
        <w:t xml:space="preserve">Since we assess behavior rather than motivational processes, we do not claim empirical support for any single framework; but the observed footprint is consistent with the main process accounts. In the Sport Commitment Model,</w:t>
      </w:r>
      <w:r>
        <w:t xml:space="preserve">8,9</w:t>
      </w:r>
      <w:r>
        <w:t xml:space="preserve"> </w:t>
      </w:r>
      <w:r>
        <w:t xml:space="preserve">the desire and resolve to continue are shaped by enjoyment, personal investments, involvement opportunities, attractive alternatives, and social constraints; the current model distinguishes</w:t>
      </w:r>
      <w:r>
        <w:t xml:space="preserve"> </w:t>
      </w:r>
      <w:r>
        <w:rPr>
          <w:i/>
          <w:iCs/>
        </w:rPr>
        <w:t xml:space="preserve">enthusiastic</w:t>
      </w:r>
      <w:r>
        <w:t xml:space="preserve"> </w:t>
      </w:r>
      <w:r>
        <w:t xml:space="preserve">commitment — a wholehearted</w:t>
      </w:r>
      <w:r>
        <w:t xml:space="preserve"> </w:t>
      </w:r>
      <w:r>
        <w:t xml:space="preserve">“want to”</w:t>
      </w:r>
      <w:r>
        <w:t xml:space="preserve"> </w:t>
      </w:r>
      <w:r>
        <w:t xml:space="preserve">— from</w:t>
      </w:r>
      <w:r>
        <w:t xml:space="preserve"> </w:t>
      </w:r>
      <w:r>
        <w:rPr>
          <w:i/>
          <w:iCs/>
        </w:rPr>
        <w:t xml:space="preserve">constrained</w:t>
      </w:r>
      <w:r>
        <w:t xml:space="preserve"> </w:t>
      </w:r>
      <w:r>
        <w:t xml:space="preserve">commitment, a more externally driven sense of obligation that is less sustainable and has been linked to burnout. Declining competition volume years before exit is consistent with an eroding commitment balance, although the register cannot distinguish whether waning enthusiasm or accumulating constraint drives the decline.</w:t>
      </w:r>
    </w:p>
    <w:p>
      <w:pPr>
        <w:pStyle w:val="BodyText"/>
      </w:pPr>
      <w:r>
        <w:t xml:space="preserve">Qualitative withdrawal-as-process accounts</w:t>
      </w:r>
      <w:r>
        <w:t xml:space="preserve">7,11</w:t>
      </w:r>
      <w:r>
        <w:t xml:space="preserve"> </w:t>
      </w:r>
      <w:r>
        <w:t xml:space="preserve">describe dropout as a gradual deliberative passage — first doubts, weighing of alternatives, a turning point — among athletes who remain formally involved: precisely what the register shows at age 15, when a typical future dropout was still competing in approximately three meets despite eventually stopping altogether. In Ebaugh’s</w:t>
      </w:r>
      <w:r>
        <w:t xml:space="preserve">11</w:t>
      </w:r>
      <w:r>
        <w:t xml:space="preserve"> </w:t>
      </w:r>
      <w:r>
        <w:t xml:space="preserve">terms, the register cannot observe first doubts or the weighing of alternatives, but it can observe what that deliberation looks like behaviorally: two to three seasons of thinning participation preceding the final exit. The lead time we measure is the observable footprint of the process Eliasson and Johansson</w:t>
      </w:r>
      <w:r>
        <w:t xml:space="preserve">7</w:t>
      </w:r>
      <w:r>
        <w:t xml:space="preserve"> </w:t>
      </w:r>
      <w:r>
        <w:t xml:space="preserve">reconstructed from interviews — and its length matches their description of withdrawal processes that can span years. Espedalen’s</w:t>
      </w:r>
      <w:r>
        <w:t xml:space="preserve">13</w:t>
      </w:r>
      <w:r>
        <w:t xml:space="preserve"> </w:t>
      </w:r>
      <w:r>
        <w:t xml:space="preserve">picture of a small, deeply committed minority alongside a larger group participating for casual enjoyment is likewise compatible, noting that these are distinct dimensions: constrained commitment is not equivalent to casual participation, and can occur even among highly invested athletes.</w:t>
      </w:r>
      <w:r>
        <w:t xml:space="preserve">9</w:t>
      </w:r>
      <w:r>
        <w:t xml:space="preserve"> </w:t>
      </w:r>
      <w:r>
        <w:t xml:space="preserve">The register cannot adjudicate between these mechanisms, but it demonstrates that</w:t>
      </w:r>
      <w:r>
        <w:t xml:space="preserve"> </w:t>
      </w:r>
      <w:r>
        <w:rPr>
          <w:i/>
          <w:iCs/>
        </w:rPr>
        <w:t xml:space="preserve">some</w:t>
      </w:r>
      <w:r>
        <w:t xml:space="preserve"> </w:t>
      </w:r>
      <w:r>
        <w:t xml:space="preserve">mechanism left a footprint large enough to be observable in registered activity.</w:t>
      </w:r>
    </w:p>
    <w:bookmarkEnd w:id="48"/>
    <w:bookmarkStart w:id="49" w:name="sex-effect"/>
    <w:p>
      <w:pPr>
        <w:pStyle w:val="Heading2"/>
      </w:pPr>
      <w:r>
        <w:t xml:space="preserve">4.5 Sex effect</w:t>
      </w:r>
    </w:p>
    <w:p>
      <w:pPr>
        <w:pStyle w:val="FirstParagraph"/>
      </w:pPr>
      <w:r>
        <w:t xml:space="preserve">Kaplan–Meier curves showed no clear sex difference in retention (log-rank</w:t>
      </w:r>
      <w:r>
        <w:t xml:space="preserve"> </w:t>
      </w:r>
      <w:r>
        <w:rPr>
          <w:i/>
          <w:iCs/>
        </w:rPr>
        <w:t xml:space="preserve">p</w:t>
      </w:r>
      <w:r>
        <w:t xml:space="preserve"> </w:t>
      </w:r>
      <w:r>
        <w:t xml:space="preserve">= .33), contrasting with survey-based reports of higher female dropout in Norwegian youth sport.</w:t>
      </w:r>
      <w:r>
        <w:t xml:space="preserve">4</w:t>
      </w:r>
      <w:r>
        <w:t xml:space="preserve"> </w:t>
      </w:r>
      <w:r>
        <w:t xml:space="preserve">The multivariable hazard ratio for females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Critically, the behavioral mechanism was similar across sexes (Supplementary Table S7): milestone-window volume reduced dropout hazard similarly for males (HR = 0.42) and females (HR = 0.46), with C-indices of 0.843 for each — so any residual sex effect operates</w:t>
      </w:r>
      <w:r>
        <w:t xml:space="preserve"> </w:t>
      </w:r>
      <w:r>
        <w:rPr>
          <w:i/>
          <w:iCs/>
        </w:rPr>
        <w:t xml:space="preserve">above</w:t>
      </w:r>
      <w:r>
        <w:t xml:space="preserve">, not</w:t>
      </w:r>
      <w:r>
        <w:t xml:space="preserve"> </w:t>
      </w:r>
      <w:r>
        <w:rPr>
          <w:i/>
          <w:iCs/>
        </w:rPr>
        <w:t xml:space="preserve">through</w:t>
      </w:r>
      <w:r>
        <w:t xml:space="preserve">, the behavioral pathway.</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1.35 per SD of HHI; 95% CI [1.16, 1.57]), consistently across cohorts (OR = 1.24 and 1.58) and in the Cox model (HR = 0.80). It is tempting to read this against the diversification literature, but that literature primarily concerns diversification</w:t>
      </w:r>
      <w:r>
        <w:t xml:space="preserve"> </w:t>
      </w:r>
      <w:r>
        <w:rPr>
          <w:i/>
          <w:iCs/>
        </w:rPr>
        <w:t xml:space="preserve">across sports</w:t>
      </w:r>
      <w:r>
        <w:t xml:space="preserve"> </w:t>
      </w:r>
      <w:r>
        <w:t xml:space="preserve">— multisport sampling versus early single-sport specialization and its consequences for later elite performance and athlete health.</w:t>
      </w:r>
      <w:r>
        <w:t xml:space="preserve">19,20</w:t>
      </w:r>
      <w:r>
        <w:t xml:space="preserve"> </w:t>
      </w:r>
      <w:r>
        <w:t xml:space="preserve">Our HHI instead measures concentration across event categories</w:t>
      </w:r>
      <w:r>
        <w:t xml:space="preserve"> </w:t>
      </w:r>
      <w:r>
        <w:rPr>
          <w:i/>
          <w:iCs/>
        </w:rPr>
        <w:t xml:space="preserve">within</w:t>
      </w:r>
      <w:r>
        <w:t xml:space="preserve"> </w:t>
      </w:r>
      <w:r>
        <w:t xml:space="preserve">a single sport, conditional on already participating in that sport, and the register contains no information about involvement in other sports: an athlete with concentrated track and field participation may simultaneously be a multisport sampler — entering fewer event categories could reflect time devoted to handball or football rather than narrow athletic focus. The two constructs are therefore related but not interchangeable. Within-sport and sport-specific evidence is itself mixed: markers of early specialization predicted burnout and dropout in youth swimming,</w:t>
      </w:r>
      <w:r>
        <w:t xml:space="preserve">34</w:t>
      </w:r>
      <w:r>
        <w:t xml:space="preserve"> </w:t>
      </w:r>
      <w:r>
        <w:t xml:space="preserve">while others have argued that blanket condemnation of early specialization outruns the available evidence.</w:t>
      </w:r>
      <w:r>
        <w:t xml:space="preserve">35</w:t>
      </w:r>
      <w:r>
        <w:t xml:space="preserve"> </w:t>
      </w:r>
      <w:r>
        <w:t xml:space="preserve">The outcome also differs — retention at age 20, not elite performance — and our estimate is conditional on entry into the competitive funnel, a logically later question than the one the sampling literature asks. Finally, HHI is not a proxy for main-event performance: HHI and primary-category Tyrving were essentially uncorrelated (r = −0.05), including primary-category performance left the HHI coefficient unchanged (OR = 1.32 vs. 1.36), and primary-category Tyrving did not itself predict dropout (</w:t>
      </w:r>
      <w:r>
        <w:rPr>
          <w:i/>
          <w:iCs/>
        </w:rPr>
        <w:t xml:space="preserve">p</w:t>
      </w:r>
      <w:r>
        <w:t xml:space="preserve"> </w:t>
      </w:r>
      <w:r>
        <w:t xml:space="preserve">&gt; .12). Governing bodies should read this result neither as a license to push early specialization nor as grounds for forced diversification among motivated adolescents who intend to continue competing.</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systematically hard to recruit into surveys, and retrospective accounts compress a continuous process into a remembered decision. Registration records instead provide a complete population and continuous, rather than reconstructed, behavioral sequences. Registers bring no new theory; they bring a longitudinal behavioral test of theories built largely on cross-sectional or short-prospective evidence — here a baseline-only signal with AUC = 0.751, cross-cohort replication, robustness to structural controls, and an E-value exceeding 5.</w:t>
      </w:r>
    </w:p>
    <w:bookmarkEnd w:id="51"/>
    <w:bookmarkStart w:id="52" w:name="implications-for-practitioners"/>
    <w:p>
      <w:pPr>
        <w:pStyle w:val="Heading2"/>
      </w:pPr>
      <w:r>
        <w:t xml:space="preserve">4.8 Implications for practitioners</w:t>
      </w:r>
    </w:p>
    <w:p>
      <w:pPr>
        <w:pStyle w:val="FirstParagraph"/>
      </w:pPr>
      <w:r>
        <w:t xml:space="preserve">Four implications follow.</w:t>
      </w:r>
      <w:r>
        <w:t xml:space="preserve"> </w:t>
      </w:r>
      <w:r>
        <w:rPr>
          <w:b/>
          <w:bCs/>
        </w:rPr>
        <w:t xml:space="preserve">(1) Register-based behavioral surveillance.</w:t>
      </w:r>
      <w:r>
        <w:t xml:space="preserve"> </w:t>
      </w:r>
      <w:r>
        <w:t xml:space="preserve">After each athlete’s age-14 season, flag those whose combined ages-13–14 competition count falls below a threshold — fully automatic, with no athlete contact. A threshold of &lt; 10 meets flags ~26% of the cohort with PPV = 0.94, about 10 percentage points above the 84% base rate; &lt; 5 meets (~9% flagged) suits focused outreach, &lt; 15 (~43%) broader screening (Table 6).</w:t>
      </w:r>
      <w:r>
        <w:t xml:space="preserve"> </w:t>
      </w:r>
      <w:r>
        <w:rPr>
          <w:b/>
          <w:bCs/>
        </w:rPr>
        <w:t xml:space="preserve">(2) Flag again after age 15 using within-athlete change.</w:t>
      </w:r>
      <w:r>
        <w:t xml:space="preserve"> </w:t>
      </w:r>
      <w:r>
        <w:t xml:space="preserve">Level at age 14 and change from age 14 to 15 carry independent information (Section 3.5; Table 4), yielding a two-screen strategy: level at end of age 14, change at end of age 15.</w:t>
      </w:r>
      <w:r>
        <w:t xml:space="preserve"> </w:t>
      </w:r>
      <w:r>
        <w:rPr>
          <w:b/>
          <w:bCs/>
        </w:rPr>
        <w:t xml:space="preserve">(3) Lower barriers to the next competition cycle for flagged athletes.</w:t>
      </w:r>
      <w:r>
        <w:t xml:space="preserve"> </w:t>
      </w:r>
      <w:r>
        <w:t xml:space="preserve">Subsidize travel, waive fees, organize coach-accompanied transport, schedule low-stakes practice meets, and signal that participation is welcome regardless of qualifying performance — each acts on the cost side of the engagement balance.</w:t>
      </w:r>
      <w:r>
        <w:t xml:space="preserve">8,9</w:t>
      </w:r>
      <w:r>
        <w:t xml:space="preserve"> </w:t>
      </w:r>
      <w:r>
        <w:t xml:space="preserve">Coach and parent contact complements, but does not substitute for, lowering structural barriers.</w:t>
      </w:r>
      <w:r>
        <w:t xml:space="preserve"> </w:t>
      </w: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(§4.6); federations should not assume that diversification pressure within track and field aids retention in this age group. Behavioral surveillance complements commitment instruments such as the SCQ-2</w:t>
      </w:r>
      <w:r>
        <w:t xml:space="preserve">9</w:t>
      </w:r>
      <w:r>
        <w:t xml:space="preserve">: behavior identifies</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 from sport: an athlete who stops competing in track and field but continues to train, or moves to another sport, is counted as a dropout; the signal is best read as disengagement from organized competitive participation and the</w:t>
      </w:r>
      <w:r>
        <w:t xml:space="preserve"> </w:t>
      </w:r>
      <w:r>
        <w:rPr>
          <w:i/>
          <w:iCs/>
        </w:rPr>
        <w:t xml:space="preserve">competitive identity</w:t>
      </w:r>
      <w:r>
        <w:t xml:space="preserve"> </w:t>
      </w:r>
      <w:r>
        <w:t xml:space="preserve">it supports. Second, the register records official performance, not subjective experience; the qualitative literature remains essential for unpacking</w:t>
      </w:r>
      <w:r>
        <w:t xml:space="preserve"> </w:t>
      </w:r>
      <w:r>
        <w:rPr>
          <w:i/>
          <w:iCs/>
        </w:rPr>
        <w:t xml:space="preserve">why</w:t>
      </w:r>
      <w:r>
        <w:t xml:space="preserve"> </w:t>
      </w:r>
      <w:r>
        <w:t xml:space="preserve">volume declines.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despite the baseline-only primary model, landmark and zero-volume sensitivities, and the level-versus-change decomposition, structural overlap remains a conceptual limitation of register-only designs. Fifth, the post-baseline Cox specification violated proportional hazards (Schoenfeld χ² = 220.77); period-specific estimates are therefore reported descriptively. Sixth, the HHI treats event categories symmetrically although they co-occur unevenly in practice — at baseline, 98% of athletes with hurdles results also had sprint results, whereas throws overlapped less with other categories — so identical HHI values can represent somewhat different combination patterns; the direction of the specialization association was nonetheless robust across cohorts. Seventh, the youngest cohort has at most four post-senior years of observation; longer follow-up would help distinguish late dropouts from genuine career athletes.</w:t>
      </w:r>
    </w:p>
    <w:bookmarkEnd w:id="53"/>
    <w:bookmarkStart w:id="54" w:name="future-directions"/>
    <w:p>
      <w:pPr>
        <w:pStyle w:val="Heading2"/>
      </w:pPr>
      <w:r>
        <w:t xml:space="preserve">4.10 Future directions</w:t>
      </w:r>
    </w:p>
    <w:p>
      <w:pPr>
        <w:pStyle w:val="FirstParagraph"/>
      </w:pPr>
      <w:r>
        <w:t xml:space="preserve">Priorities are linking the register-based behavioral signal to commitment instruments (e.g., SCQ-2) in currently active athletes, testing cross-sport generalization where registers are less complete, and quasi-experimental implementation of surveillance-triggered outreach to athletes with low but non-zero pre-milestone volume (e.g., 1 ≤ vol &lt; 10).</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withstands structural controls, replicates across two birth-year cohorts, and is not driven by mechanical zero-values; early heterogeneity and within-athlete pull-back contribute independently. The findings are consistent with — though they do not directly confirm — long-standing accounts of dropout as a gradual deliberative process, and they suggest a practical role for prospective register-based behavioral surveillance, implementable at the end of an athlete’s 14-year-old season.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Norges Idrettsforbund.</w:t>
      </w:r>
      <w:r>
        <w:t xml:space="preserve"> </w:t>
      </w:r>
      <w:r>
        <w:rPr>
          <w:i/>
          <w:iCs/>
        </w:rPr>
        <w:t xml:space="preserve">Nøkkeltall 2023: medlemskap, aktivitet og økonomi i norsk idrett</w:t>
      </w:r>
      <w:r>
        <w:t xml:space="preserve"> </w:t>
      </w:r>
      <w:r>
        <w:t xml:space="preserve">[Key statistics 2023: membership, activity and economy in Norwegian sport]. Report, Norges Idrettsforbund, Norway, 2024.</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Breiman L. Random forests.</w:t>
      </w:r>
      <w:r>
        <w:t xml:space="preserve"> </w:t>
      </w:r>
      <w:r>
        <w:rPr>
          <w:i/>
          <w:iCs/>
        </w:rPr>
        <w:t xml:space="preserve">Mach Learn</w:t>
      </w:r>
      <w:r>
        <w:t xml:space="preserve"> </w:t>
      </w:r>
      <w:r>
        <w:t xml:space="preserve">2001; 45: 5–32. DOI: 10.1023/A:1010933404324.</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2026-08-25T09:26:22Z</dcterms:created>
  <dcterms:modified xsi:type="dcterms:W3CDTF">2026-08-25T09:26:22Z</dcterms:modified>
</cp:coreProperties>
</file>

<file path=docProps/custom.xml><?xml version="1.0" encoding="utf-8"?>
<Properties xmlns="http://schemas.openxmlformats.org/officeDocument/2006/custom-properties" xmlns:vt="http://schemas.openxmlformats.org/officeDocument/2006/docPropsVTypes"/>
</file>