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tables"/>
    <w:p>
      <w:pPr>
        <w:pStyle w:val="Heading1"/>
      </w:pPr>
      <w:r>
        <w:t xml:space="preserve">Tables</w:t>
      </w:r>
    </w:p>
    <w:p>
      <w:pPr>
        <w:pStyle w:val="FirstParagraph"/>
      </w:pPr>
      <w:r>
        <w:t xml:space="preserve">(Submitted as editable text; in the final Word manuscript, each table on its own page after the references. Supplementary Tables S1–S17 follow as supplementary material.)</w:t>
      </w:r>
    </w:p>
    <w:p>
      <w:r>
        <w:pict>
          <v:rect style="width:0;height:1.5pt" o:hralign="center" o:hrstd="t" o:hr="t"/>
        </w:pict>
      </w:r>
    </w:p>
    <w:bookmarkStart w:id="9" w:name="X3f3effad2eaa83c7207be569d73957223d2e30a"/>
    <w:p>
      <w:pPr>
        <w:pStyle w:val="Heading2"/>
      </w:pPr>
      <w:r>
        <w:t xml:space="preserve">Table 1. Cohort characteristics by birth-year cohort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Characteristic</w:t>
            </w:r>
          </w:p>
        </w:tc>
        <w:tc>
          <w:tcPr/>
          <w:p>
            <w:pPr>
              <w:pStyle w:val="Compact"/>
            </w:pPr>
            <w:r>
              <w:t xml:space="preserve">Cohort A (1998–2000)</w:t>
            </w:r>
          </w:p>
        </w:tc>
        <w:tc>
          <w:tcPr/>
          <w:p>
            <w:pPr>
              <w:pStyle w:val="Compact"/>
            </w:pPr>
            <w:r>
              <w:t xml:space="preserve">Cohort B (2001–2002)</w:t>
            </w:r>
          </w:p>
        </w:tc>
        <w:tc>
          <w:tcPr/>
          <w:p>
            <w:pPr>
              <w:pStyle w:val="Compact"/>
            </w:pPr>
            <w:r>
              <w:t xml:space="preserve">All cohorts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1,301</w:t>
            </w:r>
          </w:p>
        </w:tc>
        <w:tc>
          <w:tcPr/>
          <w:p>
            <w:pPr>
              <w:pStyle w:val="Compact"/>
            </w:pPr>
            <w:r>
              <w:t xml:space="preserve">822</w:t>
            </w:r>
          </w:p>
        </w:tc>
        <w:tc>
          <w:tcPr/>
          <w:p>
            <w:pPr>
              <w:pStyle w:val="Compact"/>
            </w:pPr>
            <w:r>
              <w:t xml:space="preserve">2,123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Male (n)</w:t>
            </w:r>
          </w:p>
        </w:tc>
        <w:tc>
          <w:tcPr/>
          <w:p>
            <w:pPr>
              <w:pStyle w:val="Compact"/>
            </w:pPr>
            <w:r>
              <w:t xml:space="preserve">603</w:t>
            </w:r>
          </w:p>
        </w:tc>
        <w:tc>
          <w:tcPr/>
          <w:p>
            <w:pPr>
              <w:pStyle w:val="Compact"/>
            </w:pPr>
            <w:r>
              <w:t xml:space="preserve">393</w:t>
            </w:r>
          </w:p>
        </w:tc>
        <w:tc>
          <w:tcPr/>
          <w:p>
            <w:pPr>
              <w:pStyle w:val="Compact"/>
            </w:pPr>
            <w:r>
              <w:t xml:space="preserve">996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Female (n)</w:t>
            </w:r>
          </w:p>
        </w:tc>
        <w:tc>
          <w:tcPr/>
          <w:p>
            <w:pPr>
              <w:pStyle w:val="Compact"/>
            </w:pPr>
            <w:r>
              <w:t xml:space="preserve">684</w:t>
            </w:r>
          </w:p>
        </w:tc>
        <w:tc>
          <w:tcPr/>
          <w:p>
            <w:pPr>
              <w:pStyle w:val="Compact"/>
            </w:pPr>
            <w:r>
              <w:t xml:space="preserve">419</w:t>
            </w:r>
          </w:p>
        </w:tc>
        <w:tc>
          <w:tcPr/>
          <w:p>
            <w:pPr>
              <w:pStyle w:val="Compact"/>
            </w:pPr>
            <w:r>
              <w:t xml:space="preserve">1,103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Sex unknown (n)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Median career length (years)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 at age 17 (%)</w:t>
            </w:r>
          </w:p>
        </w:tc>
        <w:tc>
          <w:tcPr/>
          <w:p>
            <w:pPr>
              <w:pStyle w:val="Compact"/>
            </w:pPr>
            <w:r>
              <w:t xml:space="preserve">41.0</w:t>
            </w:r>
          </w:p>
        </w:tc>
        <w:tc>
          <w:tcPr/>
          <w:p>
            <w:pPr>
              <w:pStyle w:val="Compact"/>
            </w:pPr>
            <w:r>
              <w:t xml:space="preserve">41.6</w:t>
            </w:r>
          </w:p>
        </w:tc>
        <w:tc>
          <w:tcPr/>
          <w:p>
            <w:pPr>
              <w:pStyle w:val="Compact"/>
            </w:pPr>
            <w:r>
              <w:t xml:space="preserve">41.3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 at age 20 (%)</w:t>
            </w:r>
          </w:p>
        </w:tc>
        <w:tc>
          <w:tcPr/>
          <w:p>
            <w:pPr>
              <w:pStyle w:val="Compact"/>
            </w:pPr>
            <w:r>
              <w:t xml:space="preserve">15.8</w:t>
            </w:r>
          </w:p>
        </w:tc>
        <w:tc>
          <w:tcPr/>
          <w:p>
            <w:pPr>
              <w:pStyle w:val="Compact"/>
            </w:pPr>
            <w:r>
              <w:t xml:space="preserve">17.3</w:t>
            </w:r>
          </w:p>
        </w:tc>
        <w:tc>
          <w:tcPr/>
          <w:p>
            <w:pPr>
              <w:pStyle w:val="Compact"/>
            </w:pPr>
            <w:r>
              <w:t xml:space="preserve">16.4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Still active in 2024 or later (%)</w:t>
            </w:r>
          </w:p>
        </w:tc>
        <w:tc>
          <w:tcPr/>
          <w:p>
            <w:pPr>
              <w:pStyle w:val="Compact"/>
            </w:pPr>
            <w:r>
              <w:t xml:space="preserve">5.8</w:t>
            </w:r>
          </w:p>
        </w:tc>
        <w:tc>
          <w:tcPr/>
          <w:p>
            <w:pPr>
              <w:pStyle w:val="Compact"/>
            </w:pPr>
            <w:r>
              <w:t xml:space="preserve">10.8</w:t>
            </w:r>
          </w:p>
        </w:tc>
        <w:tc>
          <w:tcPr/>
          <w:p>
            <w:pPr>
              <w:pStyle w:val="Compact"/>
            </w:pPr>
            <w:r>
              <w:t xml:space="preserve">7.7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Tyrving best at baseline</w:t>
            </w:r>
          </w:p>
        </w:tc>
        <w:tc>
          <w:tcPr/>
          <w:p>
            <w:pPr>
              <w:pStyle w:val="Compact"/>
            </w:pPr>
            <w:r>
              <w:t xml:space="preserve">666</w:t>
            </w:r>
          </w:p>
        </w:tc>
        <w:tc>
          <w:tcPr/>
          <w:p>
            <w:pPr>
              <w:pStyle w:val="Compact"/>
            </w:pPr>
            <w:r>
              <w:t xml:space="preserve">666</w:t>
            </w:r>
          </w:p>
        </w:tc>
        <w:tc>
          <w:tcPr/>
          <w:p>
            <w:pPr>
              <w:pStyle w:val="Compact"/>
            </w:pPr>
            <w:r>
              <w:t xml:space="preserve">666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Median competitions at ages 13–14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Note.</w:t>
      </w:r>
      <w:r>
        <w:t xml:space="preserve"> </w:t>
      </w:r>
      <w:r>
        <w:t xml:space="preserve">“Active”</w:t>
      </w:r>
      <w:r>
        <w:t xml:space="preserve"> </w:t>
      </w:r>
      <w:r>
        <w:t xml:space="preserve">indicates ≥2 registered competition results in any calendar year at the specified age. Tyrving points = Norwegian Athletics Federation’s age-norm score where 1,000 =</w:t>
      </w:r>
      <w:r>
        <w:t xml:space="preserve"> </w:t>
      </w:r>
      <w:r>
        <w:t xml:space="preserve">“excellent”</w:t>
      </w:r>
      <w:r>
        <w:t xml:space="preserve"> </w:t>
      </w:r>
      <w:r>
        <w:t xml:space="preserve">for that event × sex × age combination.</w:t>
      </w:r>
    </w:p>
    <w:p>
      <w:r>
        <w:pict>
          <v:rect style="width:0;height:1.5pt" o:hralign="center" o:hrstd="t" o:hr="t"/>
        </w:pict>
      </w:r>
    </w:p>
    <w:bookmarkEnd w:id="9"/>
    <w:bookmarkStart w:id="10" w:name="X9a6c38783434298188d0179517197b4d55f1fe6"/>
    <w:p>
      <w:pPr>
        <w:pStyle w:val="Heading2"/>
      </w:pPr>
      <w:r>
        <w:t xml:space="preserve">Table 2. Competition volume trajectory by senior-retention status (median competitions per year and IQR)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Age 13</w:t>
            </w:r>
          </w:p>
        </w:tc>
        <w:tc>
          <w:tcPr/>
          <w:p>
            <w:pPr>
              <w:pStyle w:val="Compact"/>
            </w:pPr>
            <w:r>
              <w:t xml:space="preserve">Age 14</w:t>
            </w:r>
          </w:p>
        </w:tc>
        <w:tc>
          <w:tcPr/>
          <w:p>
            <w:pPr>
              <w:pStyle w:val="Compact"/>
            </w:pPr>
            <w:r>
              <w:t xml:space="preserve">Age 15</w:t>
            </w:r>
          </w:p>
        </w:tc>
        <w:tc>
          <w:tcPr/>
          <w:p>
            <w:pPr>
              <w:pStyle w:val="Compact"/>
            </w:pPr>
            <w:r>
              <w:t xml:space="preserve">Age 16</w:t>
            </w:r>
          </w:p>
        </w:tc>
        <w:tc>
          <w:tcPr/>
          <w:p>
            <w:pPr>
              <w:pStyle w:val="Compact"/>
            </w:pPr>
            <w:r>
              <w:t xml:space="preserve">Age 17</w:t>
            </w:r>
          </w:p>
        </w:tc>
        <w:tc>
          <w:tcPr/>
          <w:p>
            <w:pPr>
              <w:pStyle w:val="Compact"/>
            </w:pPr>
            <w:r>
              <w:t xml:space="preserve">Age 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Senior retainers (active age ≥20)</w:t>
            </w:r>
          </w:p>
        </w:tc>
        <w:tc>
          <w:tcPr/>
          <w:p>
            <w:pPr>
              <w:pStyle w:val="Compact"/>
            </w:pPr>
            <w:r>
              <w:t xml:space="preserve">348</w:t>
            </w:r>
          </w:p>
        </w:tc>
        <w:tc>
          <w:tcPr/>
          <w:p>
            <w:pPr>
              <w:pStyle w:val="Compact"/>
            </w:pPr>
            <w:r>
              <w:t xml:space="preserve">13 [6–21]</w:t>
            </w:r>
          </w:p>
        </w:tc>
        <w:tc>
          <w:tcPr/>
          <w:p>
            <w:pPr>
              <w:pStyle w:val="Compact"/>
            </w:pPr>
            <w:r>
              <w:t xml:space="preserve">17 [10–25]</w:t>
            </w:r>
          </w:p>
        </w:tc>
        <w:tc>
          <w:tcPr/>
          <w:p>
            <w:pPr>
              <w:pStyle w:val="Compact"/>
            </w:pPr>
            <w:r>
              <w:t xml:space="preserve">19 [11–27]</w:t>
            </w:r>
          </w:p>
        </w:tc>
        <w:tc>
          <w:tcPr/>
          <w:p>
            <w:pPr>
              <w:pStyle w:val="Compact"/>
            </w:pPr>
            <w:r>
              <w:t xml:space="preserve">18 [10–26]</w:t>
            </w:r>
          </w:p>
        </w:tc>
        <w:tc>
          <w:tcPr/>
          <w:p>
            <w:pPr>
              <w:pStyle w:val="Compact"/>
            </w:pPr>
            <w:r>
              <w:t xml:space="preserve">17 [10–24]</w:t>
            </w:r>
          </w:p>
        </w:tc>
        <w:tc>
          <w:tcPr/>
          <w:p>
            <w:pPr>
              <w:pStyle w:val="Compact"/>
            </w:pPr>
            <w:r>
              <w:t xml:space="preserve">14 [7–20]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Dropouts (last active age &lt;20)</w:t>
            </w:r>
          </w:p>
        </w:tc>
        <w:tc>
          <w:tcPr/>
          <w:p>
            <w:pPr>
              <w:pStyle w:val="Compact"/>
            </w:pPr>
            <w:r>
              <w:t xml:space="preserve">1,775</w:t>
            </w:r>
          </w:p>
        </w:tc>
        <w:tc>
          <w:tcPr/>
          <w:p>
            <w:pPr>
              <w:pStyle w:val="Compact"/>
            </w:pPr>
            <w:r>
              <w:t xml:space="preserve">8 [4–13]</w:t>
            </w:r>
          </w:p>
        </w:tc>
        <w:tc>
          <w:tcPr/>
          <w:p>
            <w:pPr>
              <w:pStyle w:val="Compact"/>
            </w:pPr>
            <w:r>
              <w:t xml:space="preserve">8 [3–14]</w:t>
            </w:r>
          </w:p>
        </w:tc>
        <w:tc>
          <w:tcPr/>
          <w:p>
            <w:pPr>
              <w:pStyle w:val="Compact"/>
            </w:pPr>
            <w:r>
              <w:t xml:space="preserve">3 [0–11]</w:t>
            </w:r>
          </w:p>
        </w:tc>
        <w:tc>
          <w:tcPr/>
          <w:p>
            <w:pPr>
              <w:pStyle w:val="Compact"/>
            </w:pPr>
            <w:r>
              <w:t xml:space="preserve">0 [0–7]</w:t>
            </w:r>
          </w:p>
        </w:tc>
        <w:tc>
          <w:tcPr/>
          <w:p>
            <w:pPr>
              <w:pStyle w:val="Compact"/>
            </w:pPr>
            <w:r>
              <w:t xml:space="preserve">0 [0–2]</w:t>
            </w:r>
          </w:p>
        </w:tc>
        <w:tc>
          <w:tcPr/>
          <w:p>
            <w:pPr>
              <w:pStyle w:val="Compact"/>
            </w:pPr>
            <w:r>
              <w:t xml:space="preserve">0 [0–0]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Note.</w:t>
      </w:r>
      <w:r>
        <w:t xml:space="preserve"> </w:t>
      </w:r>
      <w:r>
        <w:t xml:space="preserve">Values are median number of meets per year [IQR]. Future retainers and future dropouts already differ at ages 13–14; the gap widens further across the age-14-to-15 transition.</w:t>
      </w:r>
    </w:p>
    <w:p>
      <w:r>
        <w:pict>
          <v:rect style="width:0;height:1.5pt" o:hralign="center" o:hrstd="t" o:hr="t"/>
        </w:pict>
      </w:r>
    </w:p>
    <w:bookmarkEnd w:id="10"/>
    <w:bookmarkStart w:id="11" w:name="Xb8cde947c4ddc1e5df834e78ab22bae1a1fbba6"/>
    <w:p>
      <w:pPr>
        <w:pStyle w:val="Heading2"/>
      </w:pPr>
      <w:r>
        <w:t xml:space="preserve">Table 3. Primary analysis: prospective logistic regression for active senior status (baseline-only predictors, ages 13–14)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Covariate</w:t>
            </w:r>
          </w:p>
        </w:tc>
        <w:tc>
          <w:tcPr/>
          <w:p>
            <w:pPr>
              <w:pStyle w:val="Compact"/>
            </w:pPr>
            <w:r>
              <w:t xml:space="preserve">OR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CV-AUC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L1: Sex only</w:t>
            </w:r>
          </w:p>
        </w:tc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0.72</w:t>
            </w:r>
          </w:p>
        </w:tc>
        <w:tc>
          <w:tcPr/>
          <w:p>
            <w:pPr>
              <w:pStyle w:val="Compact"/>
            </w:pPr>
            <w:r>
              <w:t xml:space="preserve">[0.56, 0.93]</w:t>
            </w:r>
          </w:p>
        </w:tc>
        <w:tc>
          <w:tcPr/>
          <w:p>
            <w:pPr>
              <w:pStyle w:val="Compact"/>
            </w:pPr>
            <w:r>
              <w:t xml:space="preserve">.012</w:t>
            </w:r>
          </w:p>
        </w:tc>
        <w:tc>
          <w:tcPr/>
          <w:p>
            <w:pPr>
              <w:pStyle w:val="Compact"/>
            </w:pPr>
            <w:r>
              <w:t xml:space="preserve">0.541 (±0.023)</w:t>
            </w:r>
          </w:p>
        </w:tc>
        <w:tc>
          <w:tcPr/>
          <w:p>
            <w:pPr>
              <w:pStyle w:val="Compact"/>
            </w:pPr>
            <w:r>
              <w:t xml:space="preserve">1,704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L2: + Performance</w:t>
            </w:r>
          </w:p>
        </w:tc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0.68</w:t>
            </w:r>
          </w:p>
        </w:tc>
        <w:tc>
          <w:tcPr/>
          <w:p>
            <w:pPr>
              <w:pStyle w:val="Compact"/>
            </w:pPr>
            <w:r>
              <w:t xml:space="preserve">[0.52, 0.88]</w:t>
            </w:r>
          </w:p>
        </w:tc>
        <w:tc>
          <w:tcPr/>
          <w:p>
            <w:pPr>
              <w:pStyle w:val="Compact"/>
            </w:pPr>
            <w:r>
              <w:t xml:space="preserve">.003</w:t>
            </w:r>
          </w:p>
        </w:tc>
        <w:tc>
          <w:tcPr/>
          <w:p>
            <w:pPr>
              <w:pStyle w:val="Compact"/>
            </w:pPr>
            <w:r>
              <w:t xml:space="preserve">0.607 (±0.014)</w:t>
            </w:r>
          </w:p>
        </w:tc>
        <w:tc>
          <w:tcPr/>
          <w:p>
            <w:pPr>
              <w:pStyle w:val="Compact"/>
            </w:pPr>
            <w:r>
              <w:t xml:space="preserve">1,704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Tyrving (z)</w:t>
            </w:r>
          </w:p>
        </w:tc>
        <w:tc>
          <w:tcPr/>
          <w:p>
            <w:pPr>
              <w:pStyle w:val="Compact"/>
            </w:pPr>
            <w:r>
              <w:t xml:space="preserve">1.41</w:t>
            </w:r>
          </w:p>
        </w:tc>
        <w:tc>
          <w:tcPr/>
          <w:p>
            <w:pPr>
              <w:pStyle w:val="Compact"/>
            </w:pPr>
            <w:r>
              <w:t xml:space="preserve">[1.22, 1.64]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L3: + Specialization</w:t>
            </w:r>
          </w:p>
        </w:tc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0.68</w:t>
            </w:r>
          </w:p>
        </w:tc>
        <w:tc>
          <w:tcPr/>
          <w:p>
            <w:pPr>
              <w:pStyle w:val="Compact"/>
            </w:pPr>
            <w:r>
              <w:t xml:space="preserve">[0.53, 0.88]</w:t>
            </w:r>
          </w:p>
        </w:tc>
        <w:tc>
          <w:tcPr/>
          <w:p>
            <w:pPr>
              <w:pStyle w:val="Compact"/>
            </w:pPr>
            <w:r>
              <w:t xml:space="preserve">.004</w:t>
            </w:r>
          </w:p>
        </w:tc>
        <w:tc>
          <w:tcPr/>
          <w:p>
            <w:pPr>
              <w:pStyle w:val="Compact"/>
            </w:pPr>
            <w:r>
              <w:t xml:space="preserve">0.600 (±0.019)</w:t>
            </w:r>
          </w:p>
        </w:tc>
        <w:tc>
          <w:tcPr/>
          <w:p>
            <w:pPr>
              <w:pStyle w:val="Compact"/>
            </w:pPr>
            <w:r>
              <w:t xml:space="preserve">1,704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Tyrving (z)</w:t>
            </w:r>
          </w:p>
        </w:tc>
        <w:tc>
          <w:tcPr/>
          <w:p>
            <w:pPr>
              <w:pStyle w:val="Compact"/>
            </w:pPr>
            <w:r>
              <w:t xml:space="preserve">1.41</w:t>
            </w:r>
          </w:p>
        </w:tc>
        <w:tc>
          <w:tcPr/>
          <w:p>
            <w:pPr>
              <w:pStyle w:val="Compact"/>
            </w:pPr>
            <w:r>
              <w:t xml:space="preserve">[1.22, 1.64]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HHI early (z)</w:t>
            </w:r>
          </w:p>
        </w:tc>
        <w:tc>
          <w:tcPr/>
          <w:p>
            <w:pPr>
              <w:pStyle w:val="Compact"/>
            </w:pPr>
            <w:r>
              <w:t xml:space="preserve">1.09</w:t>
            </w:r>
          </w:p>
        </w:tc>
        <w:tc>
          <w:tcPr/>
          <w:p>
            <w:pPr>
              <w:pStyle w:val="Compact"/>
            </w:pPr>
            <w:r>
              <w:t xml:space="preserve">[0.95, 1.24]</w:t>
            </w:r>
          </w:p>
        </w:tc>
        <w:tc>
          <w:tcPr/>
          <w:p>
            <w:pPr>
              <w:pStyle w:val="Compact"/>
            </w:pPr>
            <w:r>
              <w:t xml:space="preserve">.238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L4: + Pre-milestone volume</w:t>
            </w:r>
          </w:p>
        </w:tc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0.61</w:t>
            </w:r>
          </w:p>
        </w:tc>
        <w:tc>
          <w:tcPr/>
          <w:p>
            <w:pPr>
              <w:pStyle w:val="Compact"/>
            </w:pPr>
            <w:r>
              <w:t xml:space="preserve">[0.46, 0.80]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0.751</w:t>
            </w:r>
            <w:r>
              <w:t xml:space="preserve"> </w:t>
            </w:r>
            <w:r>
              <w:t xml:space="preserve">(±0.026)</w:t>
            </w:r>
          </w:p>
        </w:tc>
        <w:tc>
          <w:tcPr/>
          <w:p>
            <w:pPr>
              <w:pStyle w:val="Compact"/>
            </w:pPr>
            <w:r>
              <w:t xml:space="preserve">1,704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Tyrving (z)</w:t>
            </w:r>
          </w:p>
        </w:tc>
        <w:tc>
          <w:tcPr/>
          <w:p>
            <w:pPr>
              <w:pStyle w:val="Compact"/>
            </w:pPr>
            <w:r>
              <w:t xml:space="preserve">1.12</w:t>
            </w:r>
          </w:p>
        </w:tc>
        <w:tc>
          <w:tcPr/>
          <w:p>
            <w:pPr>
              <w:pStyle w:val="Compact"/>
            </w:pPr>
            <w:r>
              <w:t xml:space="preserve">[0.96, 1.30]</w:t>
            </w:r>
          </w:p>
        </w:tc>
        <w:tc>
          <w:tcPr/>
          <w:p>
            <w:pPr>
              <w:pStyle w:val="Compact"/>
            </w:pPr>
            <w:r>
              <w:t xml:space="preserve">.144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HHI early (z)</w:t>
            </w:r>
          </w:p>
        </w:tc>
        <w:tc>
          <w:tcPr/>
          <w:p>
            <w:pPr>
              <w:pStyle w:val="Compact"/>
            </w:pPr>
            <w:r>
              <w:t xml:space="preserve">1.36</w:t>
            </w:r>
          </w:p>
        </w:tc>
        <w:tc>
          <w:tcPr/>
          <w:p>
            <w:pPr>
              <w:pStyle w:val="Compact"/>
            </w:pPr>
            <w:r>
              <w:t xml:space="preserve">[1.17, 1.57]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Pre-milestone volume (z)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2.40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[2.08, 2.76]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 .001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/>
          <w:iCs/>
        </w:rPr>
        <w:t xml:space="preserve">Note.</w:t>
      </w:r>
      <w:r>
        <w:t xml:space="preserve"> </w:t>
      </w:r>
      <w:r>
        <w:t xml:space="preserve">Logistic regression for binary active senior status (≥2 registered results in any year at age 20+). Predictors are observed during the baseline window (ages 13–14) only. Pre-milestone volume is the sum of distinct meets attended at ages 13 and 14. Continuous covariates are z-standardized so ORs reflect per-SD effects. Cross-validated AUC uses 5-fold stratified resampling. The pre-milestone volume coefficient is the dominant single-step gain (AUC 0.600 → 0.751). HHI becomes significant once volume is entered (mutual adjustment); the direction indicates that higher concentration in fewer event categories is associated with higher retention odds (see also Discussion 4.6).</w:t>
      </w:r>
    </w:p>
    <w:p>
      <w:r>
        <w:pict>
          <v:rect style="width:0;height:1.5pt" o:hralign="center" o:hrstd="t" o:hr="t"/>
        </w:pict>
      </w:r>
    </w:p>
    <w:bookmarkEnd w:id="11"/>
    <w:bookmarkStart w:id="12" w:name="Xead665dc21eb92f77ea82cce847e701a62b1bef"/>
    <w:p>
      <w:pPr>
        <w:pStyle w:val="Heading2"/>
      </w:pPr>
      <w:r>
        <w:t xml:space="preserve">Table 4. Pull-back versus baseline heterogeneity: volume level and within-athlete change</w:t>
      </w:r>
    </w:p>
    <w:p>
      <w:pPr>
        <w:pStyle w:val="FirstParagraph"/>
      </w:pPr>
      <w:r>
        <w:t xml:space="preserve">Athletes still active at age 14 (n = 1,914).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Covariate</w:t>
            </w:r>
          </w:p>
        </w:tc>
        <w:tc>
          <w:tcPr/>
          <w:p>
            <w:pPr>
              <w:pStyle w:val="Compact"/>
            </w:pPr>
            <w:r>
              <w:t xml:space="preserve">OR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M1: Volume at age 14 only</w:t>
            </w:r>
          </w:p>
        </w:tc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0.61</w:t>
            </w:r>
          </w:p>
        </w:tc>
        <w:tc>
          <w:tcPr/>
          <w:p>
            <w:pPr>
              <w:pStyle w:val="Compact"/>
            </w:pPr>
            <w:r>
              <w:t xml:space="preserve">[0.46, 0.81]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Tyrving (z)</w:t>
            </w:r>
          </w:p>
        </w:tc>
        <w:tc>
          <w:tcPr/>
          <w:p>
            <w:pPr>
              <w:pStyle w:val="Compact"/>
            </w:pPr>
            <w:r>
              <w:t xml:space="preserve">1.12</w:t>
            </w:r>
          </w:p>
        </w:tc>
        <w:tc>
          <w:tcPr/>
          <w:p>
            <w:pPr>
              <w:pStyle w:val="Compact"/>
            </w:pPr>
            <w:r>
              <w:t xml:space="preserve">[0.96, 1.30]</w:t>
            </w:r>
          </w:p>
        </w:tc>
        <w:tc>
          <w:tcPr/>
          <w:p>
            <w:pPr>
              <w:pStyle w:val="Compact"/>
            </w:pPr>
            <w:r>
              <w:t xml:space="preserve">.167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Volume at age 14 (z)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2.23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[1.94, 2.57]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 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M2: + Volume change 14→15</w:t>
            </w:r>
          </w:p>
        </w:tc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0.60</w:t>
            </w:r>
          </w:p>
        </w:tc>
        <w:tc>
          <w:tcPr/>
          <w:p>
            <w:pPr>
              <w:pStyle w:val="Compact"/>
            </w:pPr>
            <w:r>
              <w:t xml:space="preserve">[0.44, 0.81]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Tyrving (z)</w:t>
            </w:r>
          </w:p>
        </w:tc>
        <w:tc>
          <w:tcPr/>
          <w:p>
            <w:pPr>
              <w:pStyle w:val="Compact"/>
            </w:pPr>
            <w:r>
              <w:t xml:space="preserve">1.01</w:t>
            </w:r>
          </w:p>
        </w:tc>
        <w:tc>
          <w:tcPr/>
          <w:p>
            <w:pPr>
              <w:pStyle w:val="Compact"/>
            </w:pPr>
            <w:r>
              <w:t xml:space="preserve">[0.86, 1.19]</w:t>
            </w:r>
          </w:p>
        </w:tc>
        <w:tc>
          <w:tcPr/>
          <w:p>
            <w:pPr>
              <w:pStyle w:val="Compact"/>
            </w:pPr>
            <w:r>
              <w:t xml:space="preserve">.882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Volume at age 14 (z)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2.79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[2.37, 3.28]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 .001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Volume change 14→15 (z)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2.44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[2.10, 2.83]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 .001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Note.</w:t>
      </w:r>
      <w:r>
        <w:t xml:space="preserve"> </w:t>
      </w:r>
      <w:r>
        <w:t xml:space="preserve">Pseudo-</w:t>
      </w:r>
      <w:r>
        <w:rPr>
          <w:i/>
          <w:iCs/>
        </w:rPr>
        <w:t xml:space="preserve">R</w:t>
      </w:r>
      <w:r>
        <w:t xml:space="preserve">² rose from 0.113 (M1) to 0.227 (M2) — within-athlete change adds substantial information conditional on baseline level. A one-SD greater decline from age 14 to age 15 was associated with 2.4-times lower retention odds, conditional on level at age 14. Both baseline level and within-athlete pull-back contribute substantially and independently.</w:t>
      </w:r>
    </w:p>
    <w:p>
      <w:r>
        <w:pict>
          <v:rect style="width:0;height:1.5pt" o:hralign="center" o:hrstd="t" o:hr="t"/>
        </w:pict>
      </w:r>
    </w:p>
    <w:bookmarkEnd w:id="12"/>
    <w:bookmarkStart w:id="13" w:name="X26906ff415d5e711796d5b4eb2458551a966eca"/>
    <w:p>
      <w:pPr>
        <w:pStyle w:val="Heading2"/>
      </w:pPr>
      <w:r>
        <w:t xml:space="preserve">Table 5. Time-varying hazard ratios (post-baseline Cox specification, period-specific)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Covariate</w:t>
            </w:r>
          </w:p>
        </w:tc>
        <w:tc>
          <w:tcPr/>
          <w:p>
            <w:pPr>
              <w:pStyle w:val="Compact"/>
            </w:pPr>
            <w:r>
              <w:t xml:space="preserve">Years 0–3 (age 13–17)</w:t>
            </w:r>
          </w:p>
        </w:tc>
        <w:tc>
          <w:tcPr/>
          <w:p>
            <w:pPr>
              <w:pStyle w:val="Compact"/>
            </w:pPr>
            <w:r>
              <w:t xml:space="preserve">Years 3–6 (age 16–19)</w:t>
            </w:r>
          </w:p>
        </w:tc>
        <w:tc>
          <w:tcPr/>
          <w:p>
            <w:pPr>
              <w:pStyle w:val="Compact"/>
            </w:pPr>
            <w:r>
              <w:t xml:space="preserve">Years 6+ (age 19+)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Volume at age 15–16 (per SD)</w:t>
            </w:r>
          </w:p>
        </w:tc>
        <w:tc>
          <w:tcPr/>
          <w:p>
            <w:pPr>
              <w:pStyle w:val="Compact"/>
            </w:pPr>
            <w:r>
              <w:t xml:space="preserve">0.14 [0.11, 0.16]</w:t>
            </w:r>
          </w:p>
        </w:tc>
        <w:tc>
          <w:tcPr/>
          <w:p>
            <w:pPr>
              <w:pStyle w:val="Compact"/>
            </w:pPr>
            <w:r>
              <w:t xml:space="preserve">0.69 [0.60, 0.79]</w:t>
            </w:r>
          </w:p>
        </w:tc>
        <w:tc>
          <w:tcPr/>
          <w:p>
            <w:pPr>
              <w:pStyle w:val="Compact"/>
            </w:pPr>
            <w:r>
              <w:t xml:space="preserve">0.96 [0.77, 1.19]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Championship types (count)</w:t>
            </w:r>
          </w:p>
        </w:tc>
        <w:tc>
          <w:tcPr/>
          <w:p>
            <w:pPr>
              <w:pStyle w:val="Compact"/>
            </w:pPr>
            <w:r>
              <w:t xml:space="preserve">0.61 [0.55, 0.69]</w:t>
            </w:r>
          </w:p>
        </w:tc>
        <w:tc>
          <w:tcPr/>
          <w:p>
            <w:pPr>
              <w:pStyle w:val="Compact"/>
            </w:pPr>
            <w:r>
              <w:t xml:space="preserve">0.88 [0.79, 0.99]</w:t>
            </w:r>
          </w:p>
        </w:tc>
        <w:tc>
          <w:tcPr/>
          <w:p>
            <w:pPr>
              <w:pStyle w:val="Compact"/>
            </w:pPr>
            <w:r>
              <w:t xml:space="preserve">0.97 [0.78, 1.21]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Tyrving (z)</w:t>
            </w:r>
          </w:p>
        </w:tc>
        <w:tc>
          <w:tcPr/>
          <w:p>
            <w:pPr>
              <w:pStyle w:val="Compact"/>
            </w:pPr>
            <w:r>
              <w:t xml:space="preserve">1.07 [0.99, 1.15]</w:t>
            </w:r>
          </w:p>
        </w:tc>
        <w:tc>
          <w:tcPr/>
          <w:p>
            <w:pPr>
              <w:pStyle w:val="Compact"/>
            </w:pPr>
            <w:r>
              <w:t xml:space="preserve">0.92 [0.84, 1.01]</w:t>
            </w:r>
          </w:p>
        </w:tc>
        <w:tc>
          <w:tcPr/>
          <w:p>
            <w:pPr>
              <w:pStyle w:val="Compact"/>
            </w:pPr>
            <w:r>
              <w:t xml:space="preserve">0.94 [0.78, 1.13]</w:t>
            </w:r>
          </w:p>
        </w:tc>
      </w:tr>
      <w:tr>
        <w:tc>
          <w:tcPr/>
          <w:p>
            <w:pPr>
              <w:pStyle w:val="Compact"/>
            </w:pPr>
            <w:r>
              <w:t xml:space="preserve">HHI early (z)</w:t>
            </w:r>
          </w:p>
        </w:tc>
        <w:tc>
          <w:tcPr/>
          <w:p>
            <w:pPr>
              <w:pStyle w:val="Compact"/>
            </w:pPr>
            <w:r>
              <w:t xml:space="preserve">0.97 [0.91, 1.05]</w:t>
            </w:r>
          </w:p>
        </w:tc>
        <w:tc>
          <w:tcPr/>
          <w:p>
            <w:pPr>
              <w:pStyle w:val="Compact"/>
            </w:pPr>
            <w:r>
              <w:t xml:space="preserve">0.93 [0.85, 1.02]</w:t>
            </w:r>
          </w:p>
        </w:tc>
        <w:tc>
          <w:tcPr/>
          <w:p>
            <w:pPr>
              <w:pStyle w:val="Compact"/>
            </w:pPr>
            <w:r>
              <w:t xml:space="preserve">1.02 [0.85, 1.21]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1.16 [1.02, 1.31]</w:t>
            </w:r>
          </w:p>
        </w:tc>
        <w:tc>
          <w:tcPr/>
          <w:p>
            <w:pPr>
              <w:pStyle w:val="Compact"/>
            </w:pPr>
            <w:r>
              <w:t xml:space="preserve">1.06 [0.91, 1.23]</w:t>
            </w:r>
          </w:p>
        </w:tc>
        <w:tc>
          <w:tcPr/>
          <w:p>
            <w:pPr>
              <w:pStyle w:val="Compact"/>
            </w:pPr>
            <w:r>
              <w:t xml:space="preserve">1.09 [0.85, 1.39]</w:t>
            </w:r>
          </w:p>
        </w:tc>
      </w:tr>
      <w:tr>
        <w:tc>
          <w:tcPr/>
          <w:p>
            <w:pPr>
              <w:pStyle w:val="Compact"/>
            </w:pPr>
            <w:r>
              <w:t xml:space="preserve">n at risk in interval</w:t>
            </w:r>
          </w:p>
        </w:tc>
        <w:tc>
          <w:tcPr/>
          <w:p>
            <w:pPr>
              <w:pStyle w:val="Compact"/>
            </w:pPr>
            <w:r>
              <w:t xml:space="preserve">1,704</w:t>
            </w:r>
          </w:p>
        </w:tc>
        <w:tc>
          <w:tcPr/>
          <w:p>
            <w:pPr>
              <w:pStyle w:val="Compact"/>
            </w:pPr>
            <w:r>
              <w:t xml:space="preserve">669</w:t>
            </w:r>
          </w:p>
        </w:tc>
        <w:tc>
          <w:tcPr/>
          <w:p>
            <w:pPr>
              <w:pStyle w:val="Compact"/>
            </w:pPr>
            <w:r>
              <w:t xml:space="preserve">270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events in interval</w:t>
            </w:r>
          </w:p>
        </w:tc>
        <w:tc>
          <w:tcPr/>
          <w:p>
            <w:pPr>
              <w:pStyle w:val="Compact"/>
            </w:pPr>
            <w:r>
              <w:t xml:space="preserve">1,035</w:t>
            </w:r>
          </w:p>
        </w:tc>
        <w:tc>
          <w:tcPr/>
          <w:p>
            <w:pPr>
              <w:pStyle w:val="Compact"/>
            </w:pPr>
            <w:r>
              <w:t xml:space="preserve">399</w:t>
            </w:r>
          </w:p>
        </w:tc>
        <w:tc>
          <w:tcPr/>
          <w:p>
            <w:pPr>
              <w:pStyle w:val="Compact"/>
            </w:pPr>
            <w:r>
              <w:t xml:space="preserve">136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C-index</w:t>
            </w:r>
          </w:p>
        </w:tc>
        <w:tc>
          <w:tcPr/>
          <w:p>
            <w:pPr>
              <w:pStyle w:val="Compact"/>
            </w:pPr>
            <w:r>
              <w:t xml:space="preserve">0.894</w:t>
            </w:r>
          </w:p>
        </w:tc>
        <w:tc>
          <w:tcPr/>
          <w:p>
            <w:pPr>
              <w:pStyle w:val="Compact"/>
            </w:pPr>
            <w:r>
              <w:t xml:space="preserve">0.661</w:t>
            </w:r>
          </w:p>
        </w:tc>
        <w:tc>
          <w:tcPr/>
          <w:p>
            <w:pPr>
              <w:pStyle w:val="Compact"/>
            </w:pPr>
            <w:r>
              <w:t xml:space="preserve">0.582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Note.</w:t>
      </w:r>
      <w:r>
        <w:t xml:space="preserve"> </w:t>
      </w:r>
      <w:r>
        <w:t xml:space="preserve">Period-specific Cox estimates from the post-baseline specification with covariates measured at ages 15–16 and ≤17. The early-window HR for ages-15–16 volume partly reflects operational overlap between predictor and outcome (low milestone volume is mechanical for athletes who drop out before age 15); this estimate should be read as descriptive of the time-varying association rather than as an independent prospective effect. Substantively, the protective association attenuates across follow-up — consistent with proximal disengagement-marker interpretation.</w:t>
      </w:r>
    </w:p>
    <w:p>
      <w:r>
        <w:pict>
          <v:rect style="width:0;height:1.5pt" o:hralign="center" o:hrstd="t" o:hr="t"/>
        </w:pict>
      </w:r>
    </w:p>
    <w:bookmarkEnd w:id="13"/>
    <w:bookmarkStart w:id="14" w:name="Xb1aa18e3395192ff7ac564cba097915b7cb4ac8"/>
    <w:p>
      <w:pPr>
        <w:pStyle w:val="Heading2"/>
      </w:pPr>
      <w:r>
        <w:t xml:space="preserve">Table 6. Prospective early-warning thresholds (pre-milestone volume, ages 13–14)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Threshold (athletes flagged if vol &lt; )</w:t>
            </w:r>
          </w:p>
        </w:tc>
        <w:tc>
          <w:tcPr/>
          <w:p>
            <w:pPr>
              <w:pStyle w:val="Compact"/>
            </w:pPr>
            <w:r>
              <w:t xml:space="preserve">Flagged %</w:t>
            </w:r>
          </w:p>
        </w:tc>
        <w:tc>
          <w:tcPr/>
          <w:p>
            <w:pPr>
              <w:pStyle w:val="Compact"/>
            </w:pPr>
            <w:r>
              <w:t xml:space="preserve">Sensitivity</w:t>
            </w:r>
          </w:p>
        </w:tc>
        <w:tc>
          <w:tcPr/>
          <w:p>
            <w:pPr>
              <w:pStyle w:val="Compact"/>
            </w:pPr>
            <w:r>
              <w:t xml:space="preserve">Specificity</w:t>
            </w:r>
          </w:p>
        </w:tc>
        <w:tc>
          <w:tcPr/>
          <w:p>
            <w:pPr>
              <w:pStyle w:val="Compact"/>
            </w:pPr>
            <w:r>
              <w:t xml:space="preserve">PPV</w:t>
            </w:r>
          </w:p>
        </w:tc>
        <w:tc>
          <w:tcPr/>
          <w:p>
            <w:pPr>
              <w:pStyle w:val="Compact"/>
            </w:pPr>
            <w:r>
              <w:t xml:space="preserve">NPV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meets</w:t>
            </w:r>
          </w:p>
        </w:tc>
        <w:tc>
          <w:tcPr/>
          <w:p>
            <w:pPr>
              <w:pStyle w:val="Compact"/>
            </w:pPr>
            <w:r>
              <w:t xml:space="preserve">2.3</w:t>
            </w:r>
          </w:p>
        </w:tc>
        <w:tc>
          <w:tcPr/>
          <w:p>
            <w:pPr>
              <w:pStyle w:val="Compact"/>
            </w:pPr>
            <w:r>
              <w:t xml:space="preserve">0.03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0.96</w:t>
            </w:r>
          </w:p>
        </w:tc>
        <w:tc>
          <w:tcPr/>
          <w:p>
            <w:pPr>
              <w:pStyle w:val="Compact"/>
            </w:pPr>
            <w:r>
              <w:t xml:space="preserve">0.17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meets</w:t>
            </w:r>
          </w:p>
        </w:tc>
        <w:tc>
          <w:tcPr/>
          <w:p>
            <w:pPr>
              <w:pStyle w:val="Compact"/>
            </w:pPr>
            <w:r>
              <w:t xml:space="preserve">9.3</w:t>
            </w:r>
          </w:p>
        </w:tc>
        <w:tc>
          <w:tcPr/>
          <w:p>
            <w:pPr>
              <w:pStyle w:val="Compact"/>
            </w:pPr>
            <w:r>
              <w:t xml:space="preserve">0.10</w:t>
            </w:r>
          </w:p>
        </w:tc>
        <w:tc>
          <w:tcPr/>
          <w:p>
            <w:pPr>
              <w:pStyle w:val="Compact"/>
            </w:pPr>
            <w:r>
              <w:t xml:space="preserve">0.97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0.93</w:t>
            </w:r>
          </w:p>
        </w:tc>
        <w:tc>
          <w:tcPr/>
          <w:p>
            <w:pPr>
              <w:pStyle w:val="Compact"/>
            </w:pPr>
            <w:r>
              <w:t xml:space="preserve">0.18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8 meets</w:t>
            </w:r>
          </w:p>
        </w:tc>
        <w:tc>
          <w:tcPr/>
          <w:p>
            <w:pPr>
              <w:pStyle w:val="Compact"/>
            </w:pPr>
            <w:r>
              <w:t xml:space="preserve">19.8</w:t>
            </w:r>
          </w:p>
        </w:tc>
        <w:tc>
          <w:tcPr/>
          <w:p>
            <w:pPr>
              <w:pStyle w:val="Compact"/>
            </w:pPr>
            <w:r>
              <w:t xml:space="preserve">0.22</w:t>
            </w:r>
          </w:p>
        </w:tc>
        <w:tc>
          <w:tcPr/>
          <w:p>
            <w:pPr>
              <w:pStyle w:val="Compact"/>
            </w:pPr>
            <w:r>
              <w:t xml:space="preserve">0.94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0.94</w:t>
            </w:r>
          </w:p>
        </w:tc>
        <w:tc>
          <w:tcPr/>
          <w:p>
            <w:pPr>
              <w:pStyle w:val="Compact"/>
            </w:pPr>
            <w:r>
              <w:t xml:space="preserve">0.20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meets</w:t>
            </w:r>
          </w:p>
        </w:tc>
        <w:tc>
          <w:tcPr/>
          <w:p>
            <w:pPr>
              <w:pStyle w:val="Compact"/>
            </w:pPr>
            <w:r>
              <w:t xml:space="preserve">26.4</w:t>
            </w:r>
          </w:p>
        </w:tc>
        <w:tc>
          <w:tcPr/>
          <w:p>
            <w:pPr>
              <w:pStyle w:val="Compact"/>
            </w:pPr>
            <w:r>
              <w:t xml:space="preserve">0.30</w:t>
            </w:r>
          </w:p>
        </w:tc>
        <w:tc>
          <w:tcPr/>
          <w:p>
            <w:pPr>
              <w:pStyle w:val="Compact"/>
            </w:pPr>
            <w:r>
              <w:t xml:space="preserve">0.92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0.94</w:t>
            </w:r>
          </w:p>
        </w:tc>
        <w:tc>
          <w:tcPr/>
          <w:p>
            <w:pPr>
              <w:pStyle w:val="Compact"/>
            </w:pPr>
            <w:r>
              <w:t xml:space="preserve">0.22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 meets</w:t>
            </w:r>
          </w:p>
        </w:tc>
        <w:tc>
          <w:tcPr/>
          <w:p>
            <w:pPr>
              <w:pStyle w:val="Compact"/>
            </w:pPr>
            <w:r>
              <w:t xml:space="preserve">43.1</w:t>
            </w:r>
          </w:p>
        </w:tc>
        <w:tc>
          <w:tcPr/>
          <w:p>
            <w:pPr>
              <w:pStyle w:val="Compact"/>
            </w:pPr>
            <w:r>
              <w:t xml:space="preserve">0.48</w:t>
            </w:r>
          </w:p>
        </w:tc>
        <w:tc>
          <w:tcPr/>
          <w:p>
            <w:pPr>
              <w:pStyle w:val="Compact"/>
            </w:pPr>
            <w:r>
              <w:t xml:space="preserve">0.84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0.93</w:t>
            </w:r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Note.</w:t>
      </w:r>
      <w:r>
        <w:t xml:space="preserve"> </w:t>
      </w:r>
      <w:r>
        <w:t xml:space="preserve">Calibration of pre-milestone (ages 13–14) competition volume as a prospective early-warning indicator, applicable at the end of an athlete’s age-14 season — before the qualification window opens. PPV is the proportion of flagged athletes who subsequently failed to retain senior activity. PPV remains ≥ 0.93 across thresholds; the choice trades sensitivity for cohort coverage. The high PPV partly reflects the population’s high base-rate of non-retention (84%); the behavioral threshold improves precision by 9–12 percentage points over base-rate prediction while providing graduated sensitivity that base-rate prediction does not.</w:t>
      </w:r>
    </w:p>
    <w:p>
      <w:r>
        <w:pict>
          <v:rect style="width:0;height:1.5pt" o:hralign="center" o:hrstd="t" o:hr="t"/>
        </w:pict>
      </w:r>
    </w:p>
    <w:bookmarkEnd w:id="14"/>
    <w:bookmarkStart w:id="15" w:name="Xe9b21a988fbcae595b6ca55e69894fe6653a1ba"/>
    <w:p>
      <w:pPr>
        <w:pStyle w:val="Heading2"/>
      </w:pPr>
      <w:r>
        <w:t xml:space="preserve">Table 7. Cross-cohort replication of the primary L4 logistic model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Cohort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Covariate</w:t>
            </w:r>
          </w:p>
        </w:tc>
        <w:tc>
          <w:tcPr/>
          <w:p>
            <w:pPr>
              <w:pStyle w:val="Compact"/>
            </w:pPr>
            <w:r>
              <w:t xml:space="preserve">OR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1998–2000</w:t>
            </w:r>
          </w:p>
        </w:tc>
        <w:tc>
          <w:tcPr/>
          <w:p>
            <w:pPr>
              <w:pStyle w:val="Compact"/>
            </w:pPr>
            <w:r>
              <w:t xml:space="preserve">1,065</w:t>
            </w:r>
          </w:p>
        </w:tc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0.50</w:t>
            </w:r>
          </w:p>
        </w:tc>
        <w:tc>
          <w:tcPr/>
          <w:p>
            <w:pPr>
              <w:pStyle w:val="Compact"/>
            </w:pPr>
            <w:r>
              <w:t xml:space="preserve">[0.34, 0.74]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Tyrving (z)</w:t>
            </w:r>
          </w:p>
        </w:tc>
        <w:tc>
          <w:tcPr/>
          <w:p>
            <w:pPr>
              <w:pStyle w:val="Compact"/>
            </w:pPr>
            <w:r>
              <w:t xml:space="preserve">1.14</w:t>
            </w:r>
          </w:p>
        </w:tc>
        <w:tc>
          <w:tcPr/>
          <w:p>
            <w:pPr>
              <w:pStyle w:val="Compact"/>
            </w:pPr>
            <w:r>
              <w:t xml:space="preserve">[0.94, 1.39]</w:t>
            </w:r>
          </w:p>
        </w:tc>
        <w:tc>
          <w:tcPr/>
          <w:p>
            <w:pPr>
              <w:pStyle w:val="Compact"/>
            </w:pPr>
            <w:r>
              <w:t xml:space="preserve">.179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HHI early (z)</w:t>
            </w:r>
          </w:p>
        </w:tc>
        <w:tc>
          <w:tcPr/>
          <w:p>
            <w:pPr>
              <w:pStyle w:val="Compact"/>
            </w:pPr>
            <w:r>
              <w:t xml:space="preserve">1.24</w:t>
            </w:r>
          </w:p>
        </w:tc>
        <w:tc>
          <w:tcPr/>
          <w:p>
            <w:pPr>
              <w:pStyle w:val="Compact"/>
            </w:pPr>
            <w:r>
              <w:t xml:space="preserve">[1.03, 1.51]</w:t>
            </w:r>
          </w:p>
        </w:tc>
        <w:tc>
          <w:tcPr/>
          <w:p>
            <w:pPr>
              <w:pStyle w:val="Compact"/>
            </w:pPr>
            <w:r>
              <w:t xml:space="preserve">.027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Pre-milestone volume (z)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2.22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[1.86, 2.64]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 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2001–2002</w:t>
            </w:r>
          </w:p>
        </w:tc>
        <w:tc>
          <w:tcPr/>
          <w:p>
            <w:pPr>
              <w:pStyle w:val="Compact"/>
            </w:pPr>
            <w:r>
              <w:t xml:space="preserve">639</w:t>
            </w:r>
          </w:p>
        </w:tc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0.82</w:t>
            </w:r>
          </w:p>
        </w:tc>
        <w:tc>
          <w:tcPr/>
          <w:p>
            <w:pPr>
              <w:pStyle w:val="Compact"/>
            </w:pPr>
            <w:r>
              <w:t xml:space="preserve">[0.55, 1.22]</w:t>
            </w:r>
          </w:p>
        </w:tc>
        <w:tc>
          <w:tcPr/>
          <w:p>
            <w:pPr>
              <w:pStyle w:val="Compact"/>
            </w:pPr>
            <w:r>
              <w:t xml:space="preserve">.333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Tyrving (z)</w:t>
            </w:r>
          </w:p>
        </w:tc>
        <w:tc>
          <w:tcPr/>
          <w:p>
            <w:pPr>
              <w:pStyle w:val="Compact"/>
            </w:pPr>
            <w:r>
              <w:t xml:space="preserve">1.05</w:t>
            </w:r>
          </w:p>
        </w:tc>
        <w:tc>
          <w:tcPr/>
          <w:p>
            <w:pPr>
              <w:pStyle w:val="Compact"/>
            </w:pPr>
            <w:r>
              <w:t xml:space="preserve">[0.84, 1.32]</w:t>
            </w:r>
          </w:p>
        </w:tc>
        <w:tc>
          <w:tcPr/>
          <w:p>
            <w:pPr>
              <w:pStyle w:val="Compact"/>
            </w:pPr>
            <w:r>
              <w:t xml:space="preserve">.658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HHI early (z)</w:t>
            </w:r>
          </w:p>
        </w:tc>
        <w:tc>
          <w:tcPr/>
          <w:p>
            <w:pPr>
              <w:pStyle w:val="Compact"/>
            </w:pPr>
            <w:r>
              <w:t xml:space="preserve">1.58</w:t>
            </w:r>
          </w:p>
        </w:tc>
        <w:tc>
          <w:tcPr/>
          <w:p>
            <w:pPr>
              <w:pStyle w:val="Compact"/>
            </w:pPr>
            <w:r>
              <w:t xml:space="preserve">[1.25, 1.99]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Pre-milestone volume (z)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2.79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[2.17, 3.58]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 .001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Note.</w:t>
      </w:r>
      <w:r>
        <w:t xml:space="preserve"> </w:t>
      </w:r>
      <w:r>
        <w:t xml:space="preserve">The primary baseline-only logistic model re-estimated separately within each birth-year cohort. Pre-milestone volume effect replicates in both cohorts at similar magnitude. The cohort difference in the female coefficient parallels the broader sex-effect pattern discussed in §4.5; HHI is significant in both cohorts in the same direction (higher concentration = higher retention).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35" w:name="supplementary-tables"/>
    <w:p>
      <w:pPr>
        <w:pStyle w:val="Heading1"/>
      </w:pPr>
      <w:r>
        <w:t xml:space="preserve">Supplementary Tables</w:t>
      </w:r>
    </w:p>
    <w:bookmarkStart w:id="17" w:name="X15a628438591e7215282a2bd8c683409f3f0afc"/>
    <w:p>
      <w:pPr>
        <w:pStyle w:val="Heading2"/>
      </w:pPr>
      <w:r>
        <w:t xml:space="preserve">Table S1. Proportional-hazards assumption test for the post-baseline Cox specification (Schoenfeld residuals)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Covariate</w:t>
            </w:r>
          </w:p>
        </w:tc>
        <w:tc>
          <w:tcPr/>
          <w:p>
            <w:pPr>
              <w:pStyle w:val="Compact"/>
            </w:pPr>
            <w:r>
              <w:t xml:space="preserve">χ²₁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2.50</w:t>
            </w:r>
          </w:p>
        </w:tc>
        <w:tc>
          <w:tcPr/>
          <w:p>
            <w:pPr>
              <w:pStyle w:val="Compact"/>
            </w:pPr>
            <w:r>
              <w:t xml:space="preserve">.114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Tyrving (z)</w:t>
            </w:r>
          </w:p>
        </w:tc>
        <w:tc>
          <w:tcPr/>
          <w:p>
            <w:pPr>
              <w:pStyle w:val="Compact"/>
            </w:pPr>
            <w:r>
              <w:t xml:space="preserve">0.12</w:t>
            </w:r>
          </w:p>
        </w:tc>
        <w:tc>
          <w:tcPr/>
          <w:p>
            <w:pPr>
              <w:pStyle w:val="Compact"/>
            </w:pPr>
            <w:r>
              <w:t xml:space="preserve">.728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HHI early (z)</w:t>
            </w:r>
          </w:p>
        </w:tc>
        <w:tc>
          <w:tcPr/>
          <w:p>
            <w:pPr>
              <w:pStyle w:val="Compact"/>
            </w:pPr>
            <w:r>
              <w:t xml:space="preserve">11.12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Volume at age 15–16 (z)</w:t>
            </w:r>
          </w:p>
        </w:tc>
        <w:tc>
          <w:tcPr/>
          <w:p>
            <w:pPr>
              <w:pStyle w:val="Compact"/>
            </w:pPr>
            <w:r>
              <w:t xml:space="preserve">220.77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Championship types</w:t>
            </w:r>
          </w:p>
        </w:tc>
        <w:tc>
          <w:tcPr/>
          <w:p>
            <w:pPr>
              <w:pStyle w:val="Compact"/>
            </w:pPr>
            <w:r>
              <w:t xml:space="preserve">10.89</w:t>
            </w:r>
          </w:p>
        </w:tc>
        <w:tc>
          <w:tcPr/>
          <w:p>
            <w:pPr>
              <w:pStyle w:val="Compact"/>
            </w:pPr>
            <w:r>
              <w:t xml:space="preserve">.001</w:t>
            </w:r>
          </w:p>
        </w:tc>
      </w:tr>
    </w:tbl>
    <w:bookmarkEnd w:id="17"/>
    <w:bookmarkStart w:id="18" w:name="X5efa0e4ea7c9273d8e5bee5ada8e05eec14d582"/>
    <w:p>
      <w:pPr>
        <w:pStyle w:val="Heading2"/>
      </w:pPr>
      <w:r>
        <w:t xml:space="preserve">Table S2. Cluster-robust SE Cox (clustered on club)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Covariate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Robust 95% CI</w:t>
            </w:r>
          </w:p>
        </w:tc>
        <w:tc>
          <w:tcPr/>
          <w:p>
            <w:pPr>
              <w:pStyle w:val="Compact"/>
            </w:pPr>
            <w:r>
              <w:t xml:space="preserve">p (robust)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1.12</w:t>
            </w:r>
          </w:p>
        </w:tc>
        <w:tc>
          <w:tcPr/>
          <w:p>
            <w:pPr>
              <w:pStyle w:val="Compact"/>
            </w:pPr>
            <w:r>
              <w:t xml:space="preserve">[0.98, 1.28]</w:t>
            </w:r>
          </w:p>
        </w:tc>
        <w:tc>
          <w:tcPr/>
          <w:p>
            <w:pPr>
              <w:pStyle w:val="Compact"/>
            </w:pPr>
            <w:r>
              <w:t xml:space="preserve">.090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Tyrving (z)</w:t>
            </w:r>
          </w:p>
        </w:tc>
        <w:tc>
          <w:tcPr/>
          <w:p>
            <w:pPr>
              <w:pStyle w:val="Compact"/>
            </w:pPr>
            <w:r>
              <w:t xml:space="preserve">1.05</w:t>
            </w:r>
          </w:p>
        </w:tc>
        <w:tc>
          <w:tcPr/>
          <w:p>
            <w:pPr>
              <w:pStyle w:val="Compact"/>
            </w:pPr>
            <w:r>
              <w:t xml:space="preserve">[0.99, 1.12]</w:t>
            </w:r>
          </w:p>
        </w:tc>
        <w:tc>
          <w:tcPr/>
          <w:p>
            <w:pPr>
              <w:pStyle w:val="Compact"/>
            </w:pPr>
            <w:r>
              <w:t xml:space="preserve">.127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HHI early (z)</w:t>
            </w:r>
          </w:p>
        </w:tc>
        <w:tc>
          <w:tcPr/>
          <w:p>
            <w:pPr>
              <w:pStyle w:val="Compact"/>
            </w:pPr>
            <w:r>
              <w:t xml:space="preserve">0.95</w:t>
            </w:r>
          </w:p>
        </w:tc>
        <w:tc>
          <w:tcPr/>
          <w:p>
            <w:pPr>
              <w:pStyle w:val="Compact"/>
            </w:pPr>
            <w:r>
              <w:t xml:space="preserve">[0.88, 1.04]</w:t>
            </w:r>
          </w:p>
        </w:tc>
        <w:tc>
          <w:tcPr/>
          <w:p>
            <w:pPr>
              <w:pStyle w:val="Compact"/>
            </w:pPr>
            <w:r>
              <w:t xml:space="preserve">.258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Volume at age 15–16 (z)</w:t>
            </w:r>
          </w:p>
        </w:tc>
        <w:tc>
          <w:tcPr/>
          <w:p>
            <w:pPr>
              <w:pStyle w:val="Compact"/>
            </w:pPr>
            <w:r>
              <w:t xml:space="preserve">0.44</w:t>
            </w:r>
          </w:p>
        </w:tc>
        <w:tc>
          <w:tcPr/>
          <w:p>
            <w:pPr>
              <w:pStyle w:val="Compact"/>
            </w:pPr>
            <w:r>
              <w:t xml:space="preserve">[0.40, 0.48]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Championship types</w:t>
            </w:r>
          </w:p>
        </w:tc>
        <w:tc>
          <w:tcPr/>
          <w:p>
            <w:pPr>
              <w:pStyle w:val="Compact"/>
            </w:pPr>
            <w:r>
              <w:t xml:space="preserve">0.74</w:t>
            </w:r>
          </w:p>
        </w:tc>
        <w:tc>
          <w:tcPr/>
          <w:p>
            <w:pPr>
              <w:pStyle w:val="Compact"/>
            </w:pPr>
            <w:r>
              <w:t xml:space="preserve">[0.69, 0.80]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</w:tr>
    </w:tbl>
    <w:bookmarkEnd w:id="18"/>
    <w:bookmarkStart w:id="19" w:name="Xb3314dc8fb4dec101d71f2b9e359489d8f2d541"/>
    <w:p>
      <w:pPr>
        <w:pStyle w:val="Heading2"/>
      </w:pPr>
      <w:r>
        <w:t xml:space="preserve">Table S3. E-values for key effects (VanderWeele &amp; Ding, 2017)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Effect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  <w:tc>
          <w:tcPr/>
          <w:p>
            <w:pPr>
              <w:pStyle w:val="Compact"/>
            </w:pPr>
            <w:r>
              <w:t xml:space="preserve">E-value (point)</w:t>
            </w:r>
          </w:p>
        </w:tc>
        <w:tc>
          <w:tcPr/>
          <w:p>
            <w:pPr>
              <w:pStyle w:val="Compact"/>
            </w:pPr>
            <w:r>
              <w:t xml:space="preserve">E-value (CI bound)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Volume at age 15–16 (per SD)</w:t>
            </w:r>
          </w:p>
        </w:tc>
        <w:tc>
          <w:tcPr/>
          <w:p>
            <w:pPr>
              <w:pStyle w:val="Compact"/>
            </w:pPr>
            <w:r>
              <w:t xml:space="preserve">0.35</w:t>
            </w:r>
          </w:p>
        </w:tc>
        <w:tc>
          <w:tcPr/>
          <w:p>
            <w:pPr>
              <w:pStyle w:val="Compact"/>
            </w:pPr>
            <w:r>
              <w:t xml:space="preserve">[0.33, 0.38]</w:t>
            </w:r>
          </w:p>
        </w:tc>
        <w:tc>
          <w:tcPr/>
          <w:p>
            <w:pPr>
              <w:pStyle w:val="Compact"/>
            </w:pPr>
            <w:r>
              <w:t xml:space="preserve">5.16</w:t>
            </w:r>
          </w:p>
        </w:tc>
        <w:tc>
          <w:tcPr/>
          <w:p>
            <w:pPr>
              <w:pStyle w:val="Compact"/>
            </w:pPr>
            <w:r>
              <w:t xml:space="preserve">4.70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Championship types (per type)</w:t>
            </w:r>
          </w:p>
        </w:tc>
        <w:tc>
          <w:tcPr/>
          <w:p>
            <w:pPr>
              <w:pStyle w:val="Compact"/>
            </w:pPr>
            <w:r>
              <w:t xml:space="preserve">0.74</w:t>
            </w:r>
          </w:p>
        </w:tc>
        <w:tc>
          <w:tcPr/>
          <w:p>
            <w:pPr>
              <w:pStyle w:val="Compact"/>
            </w:pPr>
            <w:r>
              <w:t xml:space="preserve">[0.69, 0.80]</w:t>
            </w:r>
          </w:p>
        </w:tc>
        <w:tc>
          <w:tcPr/>
          <w:p>
            <w:pPr>
              <w:pStyle w:val="Compact"/>
            </w:pPr>
            <w:r>
              <w:t xml:space="preserve">2.04</w:t>
            </w:r>
          </w:p>
        </w:tc>
        <w:tc>
          <w:tcPr/>
          <w:p>
            <w:pPr>
              <w:pStyle w:val="Compact"/>
            </w:pPr>
            <w:r>
              <w:t xml:space="preserve">1.81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Tyrving at baseline (per SD, M2)</w:t>
            </w:r>
          </w:p>
        </w:tc>
        <w:tc>
          <w:tcPr/>
          <w:p>
            <w:pPr>
              <w:pStyle w:val="Compact"/>
            </w:pPr>
            <w:r>
              <w:t xml:space="preserve">0.86</w:t>
            </w:r>
          </w:p>
        </w:tc>
        <w:tc>
          <w:tcPr/>
          <w:p>
            <w:pPr>
              <w:pStyle w:val="Compact"/>
            </w:pPr>
            <w:r>
              <w:t xml:space="preserve">[0.82, 0.90]</w:t>
            </w:r>
          </w:p>
        </w:tc>
        <w:tc>
          <w:tcPr/>
          <w:p>
            <w:pPr>
              <w:pStyle w:val="Compact"/>
            </w:pPr>
            <w:r>
              <w:t xml:space="preserve">1.60</w:t>
            </w:r>
          </w:p>
        </w:tc>
        <w:tc>
          <w:tcPr/>
          <w:p>
            <w:pPr>
              <w:pStyle w:val="Compact"/>
            </w:pPr>
            <w:r>
              <w:t xml:space="preserve">1.46</w:t>
            </w:r>
          </w:p>
        </w:tc>
      </w:tr>
    </w:tbl>
    <w:bookmarkEnd w:id="19"/>
    <w:bookmarkStart w:id="20" w:name="X51a846a8f036607c4d86aa6dc40dff1f8e38e62"/>
    <w:p>
      <w:pPr>
        <w:pStyle w:val="Heading2"/>
      </w:pPr>
      <w:r>
        <w:t xml:space="preserve">Table S4. Sample-size sensitivity: minimum detectable HR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Cohort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Events</w:t>
            </w:r>
          </w:p>
        </w:tc>
        <w:tc>
          <w:tcPr/>
          <w:p>
            <w:pPr>
              <w:pStyle w:val="Compact"/>
            </w:pPr>
            <w:r>
              <w:t xml:space="preserve">Min. detectable HR (80% power, α = .05)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t xml:space="preserve">1,704</w:t>
            </w:r>
          </w:p>
        </w:tc>
        <w:tc>
          <w:tcPr/>
          <w:p>
            <w:pPr>
              <w:pStyle w:val="Compact"/>
            </w:pPr>
            <w:r>
              <w:t xml:space="preserve">1,570</w:t>
            </w:r>
          </w:p>
        </w:tc>
        <w:tc>
          <w:tcPr/>
          <w:p>
            <w:pPr>
              <w:pStyle w:val="Compact"/>
            </w:pPr>
            <w:r>
              <w:t xml:space="preserve">1.07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1998–2000</w:t>
            </w:r>
          </w:p>
        </w:tc>
        <w:tc>
          <w:tcPr/>
          <w:p>
            <w:pPr>
              <w:pStyle w:val="Compact"/>
            </w:pPr>
            <w:r>
              <w:t xml:space="preserve">1,065</w:t>
            </w:r>
          </w:p>
        </w:tc>
        <w:tc>
          <w:tcPr/>
          <w:p>
            <w:pPr>
              <w:pStyle w:val="Compact"/>
            </w:pPr>
            <w:r>
              <w:t xml:space="preserve">1,008</w:t>
            </w:r>
          </w:p>
        </w:tc>
        <w:tc>
          <w:tcPr/>
          <w:p>
            <w:pPr>
              <w:pStyle w:val="Compact"/>
            </w:pPr>
            <w:r>
              <w:t xml:space="preserve">1.09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2001–2002</w:t>
            </w:r>
          </w:p>
        </w:tc>
        <w:tc>
          <w:tcPr/>
          <w:p>
            <w:pPr>
              <w:pStyle w:val="Compact"/>
            </w:pPr>
            <w:r>
              <w:t xml:space="preserve">639</w:t>
            </w:r>
          </w:p>
        </w:tc>
        <w:tc>
          <w:tcPr/>
          <w:p>
            <w:pPr>
              <w:pStyle w:val="Compact"/>
            </w:pPr>
            <w:r>
              <w:t xml:space="preserve">562</w:t>
            </w:r>
          </w:p>
        </w:tc>
        <w:tc>
          <w:tcPr/>
          <w:p>
            <w:pPr>
              <w:pStyle w:val="Compact"/>
            </w:pPr>
            <w:r>
              <w:t xml:space="preserve">1.12</w:t>
            </w:r>
          </w:p>
        </w:tc>
      </w:tr>
    </w:tbl>
    <w:bookmarkEnd w:id="20"/>
    <w:bookmarkStart w:id="21" w:name="X7412c6aa52af0c16122eaafd611db1756b404cd"/>
    <w:p>
      <w:pPr>
        <w:pStyle w:val="Heading2"/>
      </w:pPr>
      <w:r>
        <w:t xml:space="preserve">Table S5. Complete-case vs mean-imputation sensitivity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Covariate</w:t>
            </w:r>
          </w:p>
        </w:tc>
        <w:tc>
          <w:tcPr/>
          <w:p>
            <w:pPr>
              <w:pStyle w:val="Compact"/>
            </w:pPr>
            <w:r>
              <w:t xml:space="preserve">HR (complete case)</w:t>
            </w:r>
          </w:p>
        </w:tc>
        <w:tc>
          <w:tcPr/>
          <w:p>
            <w:pPr>
              <w:pStyle w:val="Compact"/>
            </w:pPr>
            <w:r>
              <w:t xml:space="preserve">HR (mean imputation)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1.12</w:t>
            </w:r>
          </w:p>
        </w:tc>
        <w:tc>
          <w:tcPr/>
          <w:p>
            <w:pPr>
              <w:pStyle w:val="Compact"/>
            </w:pPr>
            <w:r>
              <w:t xml:space="preserve">1.10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Tyrving (z)</w:t>
            </w:r>
          </w:p>
        </w:tc>
        <w:tc>
          <w:tcPr/>
          <w:p>
            <w:pPr>
              <w:pStyle w:val="Compact"/>
            </w:pPr>
            <w:r>
              <w:t xml:space="preserve">1.05</w:t>
            </w:r>
          </w:p>
        </w:tc>
        <w:tc>
          <w:tcPr/>
          <w:p>
            <w:pPr>
              <w:pStyle w:val="Compact"/>
            </w:pPr>
            <w:r>
              <w:t xml:space="preserve">1.05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HHI early (z)</w:t>
            </w:r>
          </w:p>
        </w:tc>
        <w:tc>
          <w:tcPr/>
          <w:p>
            <w:pPr>
              <w:pStyle w:val="Compact"/>
            </w:pPr>
            <w:r>
              <w:t xml:space="preserve">0.95</w:t>
            </w:r>
          </w:p>
        </w:tc>
        <w:tc>
          <w:tcPr/>
          <w:p>
            <w:pPr>
              <w:pStyle w:val="Compact"/>
            </w:pPr>
            <w:r>
              <w:t xml:space="preserve">0.96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Volume at age 15–16 (z)</w:t>
            </w:r>
          </w:p>
        </w:tc>
        <w:tc>
          <w:tcPr/>
          <w:p>
            <w:pPr>
              <w:pStyle w:val="Compact"/>
            </w:pPr>
            <w:r>
              <w:t xml:space="preserve">0.44</w:t>
            </w:r>
          </w:p>
        </w:tc>
        <w:tc>
          <w:tcPr/>
          <w:p>
            <w:pPr>
              <w:pStyle w:val="Compact"/>
            </w:pPr>
            <w:r>
              <w:t xml:space="preserve">0.45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Championship types</w:t>
            </w:r>
          </w:p>
        </w:tc>
        <w:tc>
          <w:tcPr/>
          <w:p>
            <w:pPr>
              <w:pStyle w:val="Compact"/>
            </w:pPr>
            <w:r>
              <w:t xml:space="preserve">0.74</w:t>
            </w:r>
          </w:p>
        </w:tc>
        <w:tc>
          <w:tcPr/>
          <w:p>
            <w:pPr>
              <w:pStyle w:val="Compact"/>
            </w:pPr>
            <w:r>
              <w:t xml:space="preserve">0.73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1,704</w:t>
            </w:r>
          </w:p>
        </w:tc>
        <w:tc>
          <w:tcPr/>
          <w:p>
            <w:pPr>
              <w:pStyle w:val="Compact"/>
            </w:pPr>
            <w:r>
              <w:t xml:space="preserve">2,123</w:t>
            </w:r>
          </w:p>
        </w:tc>
      </w:tr>
    </w:tbl>
    <w:bookmarkEnd w:id="21"/>
    <w:bookmarkStart w:id="22" w:name="X0c71959630f98098428a376eff52756fbaccabd"/>
    <w:p>
      <w:pPr>
        <w:pStyle w:val="Heading2"/>
      </w:pPr>
      <w:r>
        <w:t xml:space="preserve">Table S6. Cox model stratified on HHI tercile (sensitivity to PH violation)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Covariate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1.12</w:t>
            </w:r>
          </w:p>
        </w:tc>
        <w:tc>
          <w:tcPr/>
          <w:p>
            <w:pPr>
              <w:pStyle w:val="Compact"/>
            </w:pPr>
            <w:r>
              <w:t xml:space="preserve">.026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Tyrving (z)</w:t>
            </w:r>
          </w:p>
        </w:tc>
        <w:tc>
          <w:tcPr/>
          <w:p>
            <w:pPr>
              <w:pStyle w:val="Compact"/>
            </w:pPr>
            <w:r>
              <w:t xml:space="preserve">1.04</w:t>
            </w:r>
          </w:p>
        </w:tc>
        <w:tc>
          <w:tcPr/>
          <w:p>
            <w:pPr>
              <w:pStyle w:val="Compact"/>
            </w:pPr>
            <w:r>
              <w:t xml:space="preserve">.093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Volume at age 15–16 (z)</w:t>
            </w:r>
          </w:p>
        </w:tc>
        <w:tc>
          <w:tcPr/>
          <w:p>
            <w:pPr>
              <w:pStyle w:val="Compact"/>
            </w:pPr>
            <w:r>
              <w:t xml:space="preserve">0.44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Championship types</w:t>
            </w:r>
          </w:p>
        </w:tc>
        <w:tc>
          <w:tcPr/>
          <w:p>
            <w:pPr>
              <w:pStyle w:val="Compact"/>
            </w:pPr>
            <w:r>
              <w:t xml:space="preserve">0.75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</w:tr>
    </w:tbl>
    <w:bookmarkEnd w:id="22"/>
    <w:bookmarkStart w:id="23" w:name="Xbdfb7ef1209e388f6ef6b9899e3527031740490"/>
    <w:p>
      <w:pPr>
        <w:pStyle w:val="Heading2"/>
      </w:pPr>
      <w:r>
        <w:t xml:space="preserve">Table S7. Sex-stratified Cox subgroup analyses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Sex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Covariate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Male</w:t>
            </w:r>
          </w:p>
        </w:tc>
        <w:tc>
          <w:tcPr/>
          <w:p>
            <w:pPr>
              <w:pStyle w:val="Compact"/>
            </w:pPr>
            <w:r>
              <w:t xml:space="preserve">805</w:t>
            </w:r>
          </w:p>
        </w:tc>
        <w:tc>
          <w:tcPr/>
          <w:p>
            <w:pPr>
              <w:pStyle w:val="Compact"/>
            </w:pPr>
            <w:r>
              <w:t xml:space="preserve">Tyrving (z)</w:t>
            </w:r>
          </w:p>
        </w:tc>
        <w:tc>
          <w:tcPr/>
          <w:p>
            <w:pPr>
              <w:pStyle w:val="Compact"/>
            </w:pPr>
            <w:r>
              <w:t xml:space="preserve">1.07</w:t>
            </w:r>
          </w:p>
        </w:tc>
        <w:tc>
          <w:tcPr/>
          <w:p>
            <w:pPr>
              <w:pStyle w:val="Compact"/>
            </w:pPr>
            <w:r>
              <w:t xml:space="preserve">[0.99, 1.15]</w:t>
            </w:r>
          </w:p>
        </w:tc>
        <w:tc>
          <w:tcPr/>
          <w:p>
            <w:pPr>
              <w:pStyle w:val="Compact"/>
            </w:pPr>
            <w:r>
              <w:t xml:space="preserve">.074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HHI early (z)</w:t>
            </w:r>
          </w:p>
        </w:tc>
        <w:tc>
          <w:tcPr/>
          <w:p>
            <w:pPr>
              <w:pStyle w:val="Compact"/>
            </w:pPr>
            <w:r>
              <w:t xml:space="preserve">0.93</w:t>
            </w:r>
          </w:p>
        </w:tc>
        <w:tc>
          <w:tcPr/>
          <w:p>
            <w:pPr>
              <w:pStyle w:val="Compact"/>
            </w:pPr>
            <w:r>
              <w:t xml:space="preserve">[0.85, 1.01]</w:t>
            </w:r>
          </w:p>
        </w:tc>
        <w:tc>
          <w:tcPr/>
          <w:p>
            <w:pPr>
              <w:pStyle w:val="Compact"/>
            </w:pPr>
            <w:r>
              <w:t xml:space="preserve">.083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Volume at age 15–16 (z)</w:t>
            </w:r>
          </w:p>
        </w:tc>
        <w:tc>
          <w:tcPr/>
          <w:p>
            <w:pPr>
              <w:pStyle w:val="Compact"/>
            </w:pPr>
            <w:r>
              <w:t xml:space="preserve">0.42</w:t>
            </w:r>
          </w:p>
        </w:tc>
        <w:tc>
          <w:tcPr/>
          <w:p>
            <w:pPr>
              <w:pStyle w:val="Compact"/>
            </w:pPr>
            <w:r>
              <w:t xml:space="preserve">[0.37, 0.48]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Championship types</w:t>
            </w:r>
          </w:p>
        </w:tc>
        <w:tc>
          <w:tcPr/>
          <w:p>
            <w:pPr>
              <w:pStyle w:val="Compact"/>
            </w:pPr>
            <w:r>
              <w:t xml:space="preserve">0.74</w:t>
            </w:r>
          </w:p>
        </w:tc>
        <w:tc>
          <w:tcPr/>
          <w:p>
            <w:pPr>
              <w:pStyle w:val="Compact"/>
            </w:pPr>
            <w:r>
              <w:t xml:space="preserve">[0.66, 0.83]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899</w:t>
            </w:r>
          </w:p>
        </w:tc>
        <w:tc>
          <w:tcPr/>
          <w:p>
            <w:pPr>
              <w:pStyle w:val="Compact"/>
            </w:pPr>
            <w:r>
              <w:t xml:space="preserve">Tyrving (z)</w:t>
            </w:r>
          </w:p>
        </w:tc>
        <w:tc>
          <w:tcPr/>
          <w:p>
            <w:pPr>
              <w:pStyle w:val="Compact"/>
            </w:pPr>
            <w:r>
              <w:t xml:space="preserve">1.04</w:t>
            </w:r>
          </w:p>
        </w:tc>
        <w:tc>
          <w:tcPr/>
          <w:p>
            <w:pPr>
              <w:pStyle w:val="Compact"/>
            </w:pPr>
            <w:r>
              <w:t xml:space="preserve">[0.97, 1.11]</w:t>
            </w:r>
          </w:p>
        </w:tc>
        <w:tc>
          <w:tcPr/>
          <w:p>
            <w:pPr>
              <w:pStyle w:val="Compact"/>
            </w:pPr>
            <w:r>
              <w:t xml:space="preserve">.306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HHI early (z)</w:t>
            </w:r>
          </w:p>
        </w:tc>
        <w:tc>
          <w:tcPr/>
          <w:p>
            <w:pPr>
              <w:pStyle w:val="Compact"/>
            </w:pPr>
            <w:r>
              <w:t xml:space="preserve">0.99</w:t>
            </w:r>
          </w:p>
        </w:tc>
        <w:tc>
          <w:tcPr/>
          <w:p>
            <w:pPr>
              <w:pStyle w:val="Compact"/>
            </w:pPr>
            <w:r>
              <w:t xml:space="preserve">[0.92, 1.06]</w:t>
            </w:r>
          </w:p>
        </w:tc>
        <w:tc>
          <w:tcPr/>
          <w:p>
            <w:pPr>
              <w:pStyle w:val="Compact"/>
            </w:pPr>
            <w:r>
              <w:t xml:space="preserve">.770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Volume at age 15–16 (z)</w:t>
            </w:r>
          </w:p>
        </w:tc>
        <w:tc>
          <w:tcPr/>
          <w:p>
            <w:pPr>
              <w:pStyle w:val="Compact"/>
            </w:pPr>
            <w:r>
              <w:t xml:space="preserve">0.46</w:t>
            </w:r>
          </w:p>
        </w:tc>
        <w:tc>
          <w:tcPr/>
          <w:p>
            <w:pPr>
              <w:pStyle w:val="Compact"/>
            </w:pPr>
            <w:r>
              <w:t xml:space="preserve">[0.40, 0.52]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Championship types</w:t>
            </w:r>
          </w:p>
        </w:tc>
        <w:tc>
          <w:tcPr/>
          <w:p>
            <w:pPr>
              <w:pStyle w:val="Compact"/>
            </w:pPr>
            <w:r>
              <w:t xml:space="preserve">0.75</w:t>
            </w:r>
          </w:p>
        </w:tc>
        <w:tc>
          <w:tcPr/>
          <w:p>
            <w:pPr>
              <w:pStyle w:val="Compact"/>
            </w:pPr>
            <w:r>
              <w:t xml:space="preserve">[0.67, 0.83]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Note.</w:t>
      </w:r>
      <w:r>
        <w:t xml:space="preserve"> </w:t>
      </w:r>
      <w:r>
        <w:t xml:space="preserve">C-index = 0.843 in both subgroups.</w:t>
      </w:r>
    </w:p>
    <w:bookmarkEnd w:id="23"/>
    <w:bookmarkStart w:id="24" w:name="X878d9f2c57ab1119cc6de90b81f42c987f5ce49"/>
    <w:p>
      <w:pPr>
        <w:pStyle w:val="Heading2"/>
      </w:pPr>
      <w:r>
        <w:t xml:space="preserve">Table S8. Landmark analysis at age 16 (post-baseline Cox, n = 1,167)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Covariate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1.32</w:t>
            </w:r>
          </w:p>
        </w:tc>
        <w:tc>
          <w:tcPr/>
          <w:p>
            <w:pPr>
              <w:pStyle w:val="Compact"/>
            </w:pPr>
            <w:r>
              <w:t xml:space="preserve">[1.15, 1.52]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Tyrving (z)</w:t>
            </w:r>
          </w:p>
        </w:tc>
        <w:tc>
          <w:tcPr/>
          <w:p>
            <w:pPr>
              <w:pStyle w:val="Compact"/>
            </w:pPr>
            <w:r>
              <w:t xml:space="preserve">1.01</w:t>
            </w:r>
          </w:p>
        </w:tc>
        <w:tc>
          <w:tcPr/>
          <w:p>
            <w:pPr>
              <w:pStyle w:val="Compact"/>
            </w:pPr>
            <w:r>
              <w:t xml:space="preserve">[0.94, 1.08]</w:t>
            </w:r>
          </w:p>
        </w:tc>
        <w:tc>
          <w:tcPr/>
          <w:p>
            <w:pPr>
              <w:pStyle w:val="Compact"/>
            </w:pPr>
            <w:r>
              <w:t xml:space="preserve">.81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HHI early (z)</w:t>
            </w:r>
          </w:p>
        </w:tc>
        <w:tc>
          <w:tcPr/>
          <w:p>
            <w:pPr>
              <w:pStyle w:val="Compact"/>
            </w:pPr>
            <w:r>
              <w:t xml:space="preserve">0.95</w:t>
            </w:r>
          </w:p>
        </w:tc>
        <w:tc>
          <w:tcPr/>
          <w:p>
            <w:pPr>
              <w:pStyle w:val="Compact"/>
            </w:pPr>
            <w:r>
              <w:t xml:space="preserve">[0.88, 1.02]</w:t>
            </w:r>
          </w:p>
        </w:tc>
        <w:tc>
          <w:tcPr/>
          <w:p>
            <w:pPr>
              <w:pStyle w:val="Compact"/>
            </w:pPr>
            <w:r>
              <w:t xml:space="preserve">.17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Volume at age 15–16 (z)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[0.54, 0.66]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 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Championship types</w:t>
            </w:r>
          </w:p>
        </w:tc>
        <w:tc>
          <w:tcPr/>
          <w:p>
            <w:pPr>
              <w:pStyle w:val="Compact"/>
            </w:pPr>
            <w:r>
              <w:t xml:space="preserve">0.78</w:t>
            </w:r>
          </w:p>
        </w:tc>
        <w:tc>
          <w:tcPr/>
          <w:p>
            <w:pPr>
              <w:pStyle w:val="Compact"/>
            </w:pPr>
            <w:r>
              <w:t xml:space="preserve">[0.71, 0.87]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 complete</w:t>
            </w:r>
          </w:p>
        </w:tc>
        <w:tc>
          <w:tcPr/>
          <w:p>
            <w:pPr>
              <w:pStyle w:val="Compact"/>
            </w:pPr>
            <w:r>
              <w:t xml:space="preserve">960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C-index</w:t>
            </w:r>
          </w:p>
        </w:tc>
        <w:tc>
          <w:tcPr/>
          <w:p>
            <w:pPr>
              <w:pStyle w:val="Compact"/>
            </w:pPr>
            <w:r>
              <w:t xml:space="preserve">0.735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/>
          <w:iCs/>
        </w:rPr>
        <w:t xml:space="preserve">Note.</w:t>
      </w:r>
      <w:r>
        <w:t xml:space="preserve"> </w:t>
      </w:r>
      <w:r>
        <w:t xml:space="preserve">Athletes with ≥1 registered result at age 16, with follow-up time measured from age 16 forward.</w:t>
      </w:r>
    </w:p>
    <w:bookmarkEnd w:id="24"/>
    <w:bookmarkStart w:id="25" w:name="X1058f84d51582e9d3993a1a3c5d2fec6244da35"/>
    <w:p>
      <w:pPr>
        <w:pStyle w:val="Heading2"/>
      </w:pPr>
      <w:r>
        <w:t xml:space="preserve">Table S9. Outcome-definition sensitivity (logistic regression, full model)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Retainer n (%)</w:t>
            </w:r>
          </w:p>
        </w:tc>
        <w:tc>
          <w:tcPr/>
          <w:p>
            <w:pPr>
              <w:pStyle w:val="Compact"/>
            </w:pPr>
            <w:r>
              <w:t xml:space="preserve">OR (pre-milestone vol per SD)</w:t>
            </w:r>
          </w:p>
        </w:tc>
        <w:tc>
          <w:tcPr/>
          <w:p>
            <w:pPr>
              <w:pStyle w:val="Compact"/>
            </w:pPr>
            <w:r>
              <w:t xml:space="preserve">AUC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≥1 senior-age (20+) result</w:t>
            </w:r>
          </w:p>
        </w:tc>
        <w:tc>
          <w:tcPr/>
          <w:p>
            <w:pPr>
              <w:pStyle w:val="Compact"/>
            </w:pPr>
            <w:r>
              <w:t xml:space="preserve">411 (19.4%)</w:t>
            </w:r>
          </w:p>
        </w:tc>
        <w:tc>
          <w:tcPr/>
          <w:p>
            <w:pPr>
              <w:pStyle w:val="Compact"/>
            </w:pPr>
            <w:r>
              <w:t xml:space="preserve">2.79</w:t>
            </w:r>
          </w:p>
        </w:tc>
        <w:tc>
          <w:tcPr/>
          <w:p>
            <w:pPr>
              <w:pStyle w:val="Compact"/>
            </w:pPr>
            <w:r>
              <w:t xml:space="preserve">0.83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≥2 results in any senior-age year (primary)</w:t>
            </w:r>
          </w:p>
        </w:tc>
        <w:tc>
          <w:tcPr/>
          <w:p>
            <w:pPr>
              <w:pStyle w:val="Compact"/>
            </w:pPr>
            <w:r>
              <w:t xml:space="preserve">348 (16.4%)</w:t>
            </w:r>
          </w:p>
        </w:tc>
        <w:tc>
          <w:tcPr/>
          <w:p>
            <w:pPr>
              <w:pStyle w:val="Compact"/>
            </w:pPr>
            <w:r>
              <w:t xml:space="preserve">3.08</w:t>
            </w:r>
          </w:p>
        </w:tc>
        <w:tc>
          <w:tcPr/>
          <w:p>
            <w:pPr>
              <w:pStyle w:val="Compact"/>
            </w:pPr>
            <w:r>
              <w:t xml:space="preserve">0.86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≥2 results in each of two distinct senior-age years</w:t>
            </w:r>
          </w:p>
        </w:tc>
        <w:tc>
          <w:tcPr/>
          <w:p>
            <w:pPr>
              <w:pStyle w:val="Compact"/>
            </w:pPr>
            <w:r>
              <w:t xml:space="preserve">254 (12.0%)</w:t>
            </w:r>
          </w:p>
        </w:tc>
        <w:tc>
          <w:tcPr/>
          <w:p>
            <w:pPr>
              <w:pStyle w:val="Compact"/>
            </w:pPr>
            <w:r>
              <w:t xml:space="preserve">2.94</w:t>
            </w:r>
          </w:p>
        </w:tc>
        <w:tc>
          <w:tcPr/>
          <w:p>
            <w:pPr>
              <w:pStyle w:val="Compact"/>
            </w:pPr>
            <w:r>
              <w:t xml:space="preserve">0.87</w:t>
            </w:r>
          </w:p>
        </w:tc>
      </w:tr>
    </w:tbl>
    <w:bookmarkEnd w:id="25"/>
    <w:bookmarkStart w:id="26" w:name="X71b7ac0ea8770779ec02beb7f61ea69e8774bd0"/>
    <w:p>
      <w:pPr>
        <w:pStyle w:val="Heading2"/>
      </w:pPr>
      <w:r>
        <w:t xml:space="preserve">Table S10. Lagged volume — pre-milestone (ages 13–14) alone (Cox)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Covariate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1.15</w:t>
            </w:r>
          </w:p>
        </w:tc>
        <w:tc>
          <w:tcPr/>
          <w:p>
            <w:pPr>
              <w:pStyle w:val="Compact"/>
            </w:pPr>
            <w:r>
              <w:t xml:space="preserve">[1.04, 1.27]</w:t>
            </w:r>
          </w:p>
        </w:tc>
        <w:tc>
          <w:tcPr/>
          <w:p>
            <w:pPr>
              <w:pStyle w:val="Compact"/>
            </w:pPr>
            <w:r>
              <w:t xml:space="preserve">.009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Tyrving (z)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[0.95, 1.05]</w:t>
            </w:r>
          </w:p>
        </w:tc>
        <w:tc>
          <w:tcPr/>
          <w:p>
            <w:pPr>
              <w:pStyle w:val="Compact"/>
            </w:pPr>
            <w:r>
              <w:t xml:space="preserve">.833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HHI early (z)</w:t>
            </w:r>
          </w:p>
        </w:tc>
        <w:tc>
          <w:tcPr/>
          <w:p>
            <w:pPr>
              <w:pStyle w:val="Compact"/>
            </w:pPr>
            <w:r>
              <w:t xml:space="preserve">0.80</w:t>
            </w:r>
          </w:p>
        </w:tc>
        <w:tc>
          <w:tcPr/>
          <w:p>
            <w:pPr>
              <w:pStyle w:val="Compact"/>
            </w:pPr>
            <w:r>
              <w:t xml:space="preserve">[0.76, 0.85]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Pre-milestone volume (z, ages 13–14)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[0.46, 0.53]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 .001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Note.</w:t>
      </w:r>
      <w:r>
        <w:t xml:space="preserve"> </w:t>
      </w:r>
      <w:r>
        <w:t xml:space="preserve">n = 1,704; C-index = 0.743.</w:t>
      </w:r>
    </w:p>
    <w:bookmarkEnd w:id="26"/>
    <w:bookmarkStart w:id="27" w:name="Xa64f954e491e5500a083feee6b6748a4b5f6096"/>
    <w:p>
      <w:pPr>
        <w:pStyle w:val="Heading2"/>
      </w:pPr>
      <w:r>
        <w:t xml:space="preserve">Table S11. Sensitivity excluding zero-volume athletes (post-baseline Cox)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Covariate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1.20</w:t>
            </w:r>
          </w:p>
        </w:tc>
        <w:tc>
          <w:tcPr/>
          <w:p>
            <w:pPr>
              <w:pStyle w:val="Compact"/>
            </w:pPr>
            <w:r>
              <w:t xml:space="preserve">[1.07, 1.36]</w:t>
            </w:r>
          </w:p>
        </w:tc>
        <w:tc>
          <w:tcPr/>
          <w:p>
            <w:pPr>
              <w:pStyle w:val="Compact"/>
            </w:pPr>
            <w:r>
              <w:t xml:space="preserve">.003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Tyrving (z)</w:t>
            </w:r>
          </w:p>
        </w:tc>
        <w:tc>
          <w:tcPr/>
          <w:p>
            <w:pPr>
              <w:pStyle w:val="Compact"/>
            </w:pPr>
            <w:r>
              <w:t xml:space="preserve">1.04</w:t>
            </w:r>
          </w:p>
        </w:tc>
        <w:tc>
          <w:tcPr/>
          <w:p>
            <w:pPr>
              <w:pStyle w:val="Compact"/>
            </w:pPr>
            <w:r>
              <w:t xml:space="preserve">[0.98, 1.10]</w:t>
            </w:r>
          </w:p>
        </w:tc>
        <w:tc>
          <w:tcPr/>
          <w:p>
            <w:pPr>
              <w:pStyle w:val="Compact"/>
            </w:pPr>
            <w:r>
              <w:t xml:space="preserve">.211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HHI early (z)</w:t>
            </w:r>
          </w:p>
        </w:tc>
        <w:tc>
          <w:tcPr/>
          <w:p>
            <w:pPr>
              <w:pStyle w:val="Compact"/>
            </w:pPr>
            <w:r>
              <w:t xml:space="preserve">0.96</w:t>
            </w:r>
          </w:p>
        </w:tc>
        <w:tc>
          <w:tcPr/>
          <w:p>
            <w:pPr>
              <w:pStyle w:val="Compact"/>
            </w:pPr>
            <w:r>
              <w:t xml:space="preserve">[0.90, 1.02]</w:t>
            </w:r>
          </w:p>
        </w:tc>
        <w:tc>
          <w:tcPr/>
          <w:p>
            <w:pPr>
              <w:pStyle w:val="Compact"/>
            </w:pPr>
            <w:r>
              <w:t xml:space="preserve">.200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Volume at age 15–16 (z)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[0.46, 0.56]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 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Championship types</w:t>
            </w:r>
          </w:p>
        </w:tc>
        <w:tc>
          <w:tcPr/>
          <w:p>
            <w:pPr>
              <w:pStyle w:val="Compact"/>
            </w:pPr>
            <w:r>
              <w:t xml:space="preserve">0.80</w:t>
            </w:r>
          </w:p>
        </w:tc>
        <w:tc>
          <w:tcPr/>
          <w:p>
            <w:pPr>
              <w:pStyle w:val="Compact"/>
            </w:pPr>
            <w:r>
              <w:t xml:space="preserve">[0.73, 0.87]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Note.</w:t>
      </w:r>
      <w:r>
        <w:t xml:space="preserve"> </w:t>
      </w:r>
      <w:r>
        <w:t xml:space="preserve">Excludes 589 athletes with vol_milestone = 0; remaining n = 1,250; C-index = 0.786.</w:t>
      </w:r>
    </w:p>
    <w:bookmarkEnd w:id="27"/>
    <w:bookmarkStart w:id="28" w:name="X1474e7478f5250bc01001f6d135024a6236a269"/>
    <w:p>
      <w:pPr>
        <w:pStyle w:val="Heading2"/>
      </w:pPr>
      <w:r>
        <w:t xml:space="preserve">Table S12. Random forest variable importance (top 15) for senior retention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Rank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Importance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Volume at age 16</w:t>
            </w:r>
          </w:p>
        </w:tc>
        <w:tc>
          <w:tcPr/>
          <w:p>
            <w:pPr>
              <w:pStyle w:val="Compact"/>
            </w:pPr>
            <w:r>
              <w:t xml:space="preserve">0.133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Composite volume at milestone (ages 15–16)</w:t>
            </w:r>
          </w:p>
        </w:tc>
        <w:tc>
          <w:tcPr/>
          <w:p>
            <w:pPr>
              <w:pStyle w:val="Compact"/>
            </w:pPr>
            <w:r>
              <w:t xml:space="preserve">0.126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Volume at age 15</w:t>
            </w:r>
          </w:p>
        </w:tc>
        <w:tc>
          <w:tcPr/>
          <w:p>
            <w:pPr>
              <w:pStyle w:val="Compact"/>
            </w:pPr>
            <w:r>
              <w:t xml:space="preserve">0.083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Tyrving performance slope (ages 13–16)</w:t>
            </w:r>
          </w:p>
        </w:tc>
        <w:tc>
          <w:tcPr/>
          <w:p>
            <w:pPr>
              <w:pStyle w:val="Compact"/>
            </w:pPr>
            <w:r>
              <w:t xml:space="preserve">0.075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Volume trend across milestone</w:t>
            </w:r>
          </w:p>
        </w:tc>
        <w:tc>
          <w:tcPr/>
          <w:p>
            <w:pPr>
              <w:pStyle w:val="Compact"/>
            </w:pPr>
            <w:r>
              <w:t xml:space="preserve">0.071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Peak Tyrving before age 15</w:t>
            </w:r>
          </w:p>
        </w:tc>
        <w:tc>
          <w:tcPr/>
          <w:p>
            <w:pPr>
              <w:pStyle w:val="Compact"/>
            </w:pPr>
            <w:r>
              <w:t xml:space="preserve">0.048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HHI change (age 13–14 to 15–16)</w:t>
            </w:r>
          </w:p>
        </w:tc>
        <w:tc>
          <w:tcPr/>
          <w:p>
            <w:pPr>
              <w:pStyle w:val="Compact"/>
            </w:pPr>
            <w:r>
              <w:t xml:space="preserve">0.044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Mean meets per year early career</w:t>
            </w:r>
          </w:p>
        </w:tc>
        <w:tc>
          <w:tcPr/>
          <w:p>
            <w:pPr>
              <w:pStyle w:val="Compact"/>
            </w:pPr>
            <w:r>
              <w:t xml:space="preserve">0.042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Tyrving best at baseline</w:t>
            </w:r>
          </w:p>
        </w:tc>
        <w:tc>
          <w:tcPr/>
          <w:p>
            <w:pPr>
              <w:pStyle w:val="Compact"/>
            </w:pPr>
            <w:r>
              <w:t xml:space="preserve">0.040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HHI early</w:t>
            </w:r>
          </w:p>
        </w:tc>
        <w:tc>
          <w:tcPr/>
          <w:p>
            <w:pPr>
              <w:pStyle w:val="Compact"/>
            </w:pPr>
            <w:r>
              <w:t xml:space="preserve">0.040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Volume pre-milestone (ages 13–14)</w:t>
            </w:r>
          </w:p>
        </w:tc>
        <w:tc>
          <w:tcPr/>
          <w:p>
            <w:pPr>
              <w:pStyle w:val="Compact"/>
            </w:pPr>
            <w:r>
              <w:t xml:space="preserve">0.039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Year-round participation sum (ages 13–16)</w:t>
            </w:r>
          </w:p>
        </w:tc>
        <w:tc>
          <w:tcPr/>
          <w:p>
            <w:pPr>
              <w:pStyle w:val="Compact"/>
            </w:pPr>
            <w:r>
              <w:t xml:space="preserve">0.039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Volume at age 14</w:t>
            </w:r>
          </w:p>
        </w:tc>
        <w:tc>
          <w:tcPr/>
          <w:p>
            <w:pPr>
              <w:pStyle w:val="Compact"/>
            </w:pPr>
            <w:r>
              <w:t xml:space="preserve">0.036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Number of championship types</w:t>
            </w:r>
          </w:p>
        </w:tc>
        <w:tc>
          <w:tcPr/>
          <w:p>
            <w:pPr>
              <w:pStyle w:val="Compact"/>
            </w:pPr>
            <w:r>
              <w:t xml:space="preserve">0.031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HHI at age 15</w:t>
            </w:r>
          </w:p>
        </w:tc>
        <w:tc>
          <w:tcPr/>
          <w:p>
            <w:pPr>
              <w:pStyle w:val="Compact"/>
            </w:pPr>
            <w:r>
              <w:t xml:space="preserve">0.030</w:t>
            </w:r>
          </w:p>
        </w:tc>
      </w:tr>
    </w:tbl>
    <w:bookmarkEnd w:id="28"/>
    <w:bookmarkStart w:id="29" w:name="X222e4e7683d0a0d9c9b236b6a358e65d6328bfb"/>
    <w:p>
      <w:pPr>
        <w:pStyle w:val="Heading2"/>
      </w:pPr>
      <w:r>
        <w:t xml:space="preserve">Table S13. Primary logistic regression with structural controls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Covariate</w:t>
            </w:r>
          </w:p>
        </w:tc>
        <w:tc>
          <w:tcPr/>
          <w:p>
            <w:pPr>
              <w:pStyle w:val="Compact"/>
            </w:pPr>
            <w:r>
              <w:t xml:space="preserve">OR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0.59</w:t>
            </w:r>
          </w:p>
        </w:tc>
        <w:tc>
          <w:tcPr/>
          <w:p>
            <w:pPr>
              <w:pStyle w:val="Compact"/>
            </w:pPr>
            <w:r>
              <w:t xml:space="preserve">[0.45, 0.79]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Tyrving (z)</w:t>
            </w:r>
          </w:p>
        </w:tc>
        <w:tc>
          <w:tcPr/>
          <w:p>
            <w:pPr>
              <w:pStyle w:val="Compact"/>
            </w:pPr>
            <w:r>
              <w:t xml:space="preserve">1.12</w:t>
            </w:r>
          </w:p>
        </w:tc>
        <w:tc>
          <w:tcPr/>
          <w:p>
            <w:pPr>
              <w:pStyle w:val="Compact"/>
            </w:pPr>
            <w:r>
              <w:t xml:space="preserve">[0.96, 1.31]</w:t>
            </w:r>
          </w:p>
        </w:tc>
        <w:tc>
          <w:tcPr/>
          <w:p>
            <w:pPr>
              <w:pStyle w:val="Compact"/>
            </w:pPr>
            <w:r>
              <w:t xml:space="preserve">.138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HHI early (z)</w:t>
            </w:r>
          </w:p>
        </w:tc>
        <w:tc>
          <w:tcPr/>
          <w:p>
            <w:pPr>
              <w:pStyle w:val="Compact"/>
            </w:pPr>
            <w:r>
              <w:t xml:space="preserve">1.35</w:t>
            </w:r>
          </w:p>
        </w:tc>
        <w:tc>
          <w:tcPr/>
          <w:p>
            <w:pPr>
              <w:pStyle w:val="Compact"/>
            </w:pPr>
            <w:r>
              <w:t xml:space="preserve">[1.16, 1.56]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Pre-milestone volume (z)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2.40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[2.08, 2.78]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 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 born</w:t>
            </w:r>
          </w:p>
        </w:tc>
        <w:tc>
          <w:tcPr/>
          <w:p>
            <w:pPr>
              <w:pStyle w:val="Compact"/>
            </w:pPr>
            <w:r>
              <w:t xml:space="preserve">0.81</w:t>
            </w:r>
          </w:p>
        </w:tc>
        <w:tc>
          <w:tcPr/>
          <w:p>
            <w:pPr>
              <w:pStyle w:val="Compact"/>
            </w:pPr>
            <w:r>
              <w:t xml:space="preserve">[0.59, 1.11]</w:t>
            </w:r>
          </w:p>
        </w:tc>
        <w:tc>
          <w:tcPr/>
          <w:p>
            <w:pPr>
              <w:pStyle w:val="Compact"/>
            </w:pPr>
            <w:r>
              <w:t xml:space="preserve">.188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Q4 born</w:t>
            </w:r>
          </w:p>
        </w:tc>
        <w:tc>
          <w:tcPr/>
          <w:p>
            <w:pPr>
              <w:pStyle w:val="Compact"/>
            </w:pPr>
            <w:r>
              <w:t xml:space="preserve">0.93</w:t>
            </w:r>
          </w:p>
        </w:tc>
        <w:tc>
          <w:tcPr/>
          <w:p>
            <w:pPr>
              <w:pStyle w:val="Compact"/>
            </w:pPr>
            <w:r>
              <w:t xml:space="preserve">[0.62, 1.40]</w:t>
            </w:r>
          </w:p>
        </w:tc>
        <w:tc>
          <w:tcPr/>
          <w:p>
            <w:pPr>
              <w:pStyle w:val="Compact"/>
            </w:pPr>
            <w:r>
              <w:t xml:space="preserve">.740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Region: Østlandet</w:t>
            </w:r>
          </w:p>
        </w:tc>
        <w:tc>
          <w:tcPr/>
          <w:p>
            <w:pPr>
              <w:pStyle w:val="Compact"/>
            </w:pPr>
            <w:r>
              <w:t xml:space="preserve">1.27</w:t>
            </w:r>
          </w:p>
        </w:tc>
        <w:tc>
          <w:tcPr/>
          <w:p>
            <w:pPr>
              <w:pStyle w:val="Compact"/>
            </w:pPr>
            <w:r>
              <w:t xml:space="preserve">[0.92, 1.77]</w:t>
            </w:r>
          </w:p>
        </w:tc>
        <w:tc>
          <w:tcPr/>
          <w:p>
            <w:pPr>
              <w:pStyle w:val="Compact"/>
            </w:pPr>
            <w:r>
              <w:t xml:space="preserve">.149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Region: Midt-Norge</w:t>
            </w:r>
          </w:p>
        </w:tc>
        <w:tc>
          <w:tcPr/>
          <w:p>
            <w:pPr>
              <w:pStyle w:val="Compact"/>
            </w:pPr>
            <w:r>
              <w:t xml:space="preserve">1.10</w:t>
            </w:r>
          </w:p>
        </w:tc>
        <w:tc>
          <w:tcPr/>
          <w:p>
            <w:pPr>
              <w:pStyle w:val="Compact"/>
            </w:pPr>
            <w:r>
              <w:t xml:space="preserve">[0.74, 1.64]</w:t>
            </w:r>
          </w:p>
        </w:tc>
        <w:tc>
          <w:tcPr/>
          <w:p>
            <w:pPr>
              <w:pStyle w:val="Compact"/>
            </w:pPr>
            <w:r>
              <w:t xml:space="preserve">.626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Club size (z)</w:t>
            </w:r>
          </w:p>
        </w:tc>
        <w:tc>
          <w:tcPr/>
          <w:p>
            <w:pPr>
              <w:pStyle w:val="Compact"/>
            </w:pPr>
            <w:r>
              <w:t xml:space="preserve">1.03</w:t>
            </w:r>
          </w:p>
        </w:tc>
        <w:tc>
          <w:tcPr/>
          <w:p>
            <w:pPr>
              <w:pStyle w:val="Compact"/>
            </w:pPr>
            <w:r>
              <w:t xml:space="preserve">[0.90, 1.18]</w:t>
            </w:r>
          </w:p>
        </w:tc>
        <w:tc>
          <w:tcPr/>
          <w:p>
            <w:pPr>
              <w:pStyle w:val="Compact"/>
            </w:pPr>
            <w:r>
              <w:t xml:space="preserve">.681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Note.</w:t>
      </w:r>
      <w:r>
        <w:t xml:space="preserve"> </w:t>
      </w:r>
      <w:r>
        <w:t xml:space="preserve">n = 1,704; CV-AUC = 0.740. Pre-milestone volume effect is unchanged: OR 2.40 with controls vs. 2.40 without (≤ 1% change). All structural controls non-significant.</w:t>
      </w:r>
    </w:p>
    <w:bookmarkEnd w:id="29"/>
    <w:bookmarkStart w:id="30" w:name="Xf23602cc24059e75e7e43c07196e98f5ede4bcb"/>
    <w:p>
      <w:pPr>
        <w:pStyle w:val="Heading2"/>
      </w:pPr>
      <w:r>
        <w:t xml:space="preserve">Table S14. Pull-back analysis details (logistic regression in athletes still active at age 14, n = 1,914)</w:t>
      </w:r>
    </w:p>
    <w:p>
      <w:pPr>
        <w:pStyle w:val="FirstParagraph"/>
      </w:pPr>
      <w:r>
        <w:t xml:space="preserve">(Same content as Table 4 above with full coefficient detail; provided as supplementary for completeness.)</w:t>
      </w:r>
    </w:p>
    <w:bookmarkEnd w:id="30"/>
    <w:bookmarkStart w:id="31" w:name="X14a187cccba8ab8acd9d39950cd3e8c5b715a82"/>
    <w:p>
      <w:pPr>
        <w:pStyle w:val="Heading2"/>
      </w:pPr>
      <w:r>
        <w:t xml:space="preserve">Table S15. Time-aligned behavior versus performance (5-fold CV-AUC)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Predictor set (all ages 13–14 measurements)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CV-AUC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Sex + baseline Tyrving</w:t>
            </w:r>
          </w:p>
        </w:tc>
        <w:tc>
          <w:tcPr/>
          <w:p>
            <w:pPr>
              <w:pStyle w:val="Compact"/>
            </w:pPr>
            <w:r>
              <w:t xml:space="preserve">1,704</w:t>
            </w:r>
          </w:p>
        </w:tc>
        <w:tc>
          <w:tcPr/>
          <w:p>
            <w:pPr>
              <w:pStyle w:val="Compact"/>
            </w:pPr>
            <w:r>
              <w:t xml:space="preserve">0.607 (±0.014)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Sex + pre-milestone volume</w:t>
            </w:r>
          </w:p>
        </w:tc>
        <w:tc>
          <w:tcPr/>
          <w:p>
            <w:pPr>
              <w:pStyle w:val="Compact"/>
            </w:pPr>
            <w:r>
              <w:t xml:space="preserve">1,704</w:t>
            </w:r>
          </w:p>
        </w:tc>
        <w:tc>
          <w:tcPr/>
          <w:p>
            <w:pPr>
              <w:pStyle w:val="Compact"/>
            </w:pPr>
            <w:r>
              <w:t xml:space="preserve">0.740 (±0.024)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Sex + Tyrving + pre-milestone volume</w:t>
            </w:r>
          </w:p>
        </w:tc>
        <w:tc>
          <w:tcPr/>
          <w:p>
            <w:pPr>
              <w:pStyle w:val="Compact"/>
            </w:pPr>
            <w:r>
              <w:t xml:space="preserve">1,704</w:t>
            </w:r>
          </w:p>
        </w:tc>
        <w:tc>
          <w:tcPr/>
          <w:p>
            <w:pPr>
              <w:pStyle w:val="Compact"/>
            </w:pPr>
            <w:r>
              <w:t xml:space="preserve">0.737 (±0.021)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Note.</w:t>
      </w:r>
      <w:r>
        <w:t xml:space="preserve"> </w:t>
      </w:r>
      <w:r>
        <w:t xml:space="preserve">Even in a fully time-aligned comparison (both predictors observed during the baseline window of ages 13–14), behavior substantially out-predicts performance.</w:t>
      </w:r>
    </w:p>
    <w:bookmarkEnd w:id="31"/>
    <w:bookmarkStart w:id="32" w:name="X17e9a4b8e4f294fe106d952e9382005d4b3183b"/>
    <w:p>
      <w:pPr>
        <w:pStyle w:val="Heading2"/>
      </w:pPr>
      <w:r>
        <w:t xml:space="preserve">Table S16. Cox time-to-cessation with structural controls (baseline-only predictors)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Covariate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1.16</w:t>
            </w:r>
          </w:p>
        </w:tc>
        <w:tc>
          <w:tcPr/>
          <w:p>
            <w:pPr>
              <w:pStyle w:val="Compact"/>
            </w:pPr>
            <w:r>
              <w:t xml:space="preserve">[1.04, 1.28]</w:t>
            </w:r>
          </w:p>
        </w:tc>
        <w:tc>
          <w:tcPr/>
          <w:p>
            <w:pPr>
              <w:pStyle w:val="Compact"/>
            </w:pPr>
            <w:r>
              <w:t xml:space="preserve">.005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Tyrving (z)</w:t>
            </w:r>
          </w:p>
        </w:tc>
        <w:tc>
          <w:tcPr/>
          <w:p>
            <w:pPr>
              <w:pStyle w:val="Compact"/>
            </w:pPr>
            <w:r>
              <w:t xml:space="preserve">0.99</w:t>
            </w:r>
          </w:p>
        </w:tc>
        <w:tc>
          <w:tcPr/>
          <w:p>
            <w:pPr>
              <w:pStyle w:val="Compact"/>
            </w:pPr>
            <w:r>
              <w:t xml:space="preserve">[0.94, 1.04]</w:t>
            </w:r>
          </w:p>
        </w:tc>
        <w:tc>
          <w:tcPr/>
          <w:p>
            <w:pPr>
              <w:pStyle w:val="Compact"/>
            </w:pPr>
            <w:r>
              <w:t xml:space="preserve">.749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HHI early (z)</w:t>
            </w:r>
          </w:p>
        </w:tc>
        <w:tc>
          <w:tcPr/>
          <w:p>
            <w:pPr>
              <w:pStyle w:val="Compact"/>
            </w:pPr>
            <w:r>
              <w:t xml:space="preserve">0.80</w:t>
            </w:r>
          </w:p>
        </w:tc>
        <w:tc>
          <w:tcPr/>
          <w:p>
            <w:pPr>
              <w:pStyle w:val="Compact"/>
            </w:pPr>
            <w:r>
              <w:t xml:space="preserve">[0.76, 0.85]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Pre-milestone volume (z)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0.49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[0.46, 0.53]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 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 born</w:t>
            </w:r>
          </w:p>
        </w:tc>
        <w:tc>
          <w:tcPr/>
          <w:p>
            <w:pPr>
              <w:pStyle w:val="Compact"/>
            </w:pPr>
            <w:r>
              <w:t xml:space="preserve">1.01</w:t>
            </w:r>
          </w:p>
        </w:tc>
        <w:tc>
          <w:tcPr/>
          <w:p>
            <w:pPr>
              <w:pStyle w:val="Compact"/>
            </w:pPr>
            <w:r>
              <w:t xml:space="preserve">[0.90, 1.13]</w:t>
            </w:r>
          </w:p>
        </w:tc>
        <w:tc>
          <w:tcPr/>
          <w:p>
            <w:pPr>
              <w:pStyle w:val="Compact"/>
            </w:pPr>
            <w:r>
              <w:t xml:space="preserve">.913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Q4 born</w:t>
            </w:r>
          </w:p>
        </w:tc>
        <w:tc>
          <w:tcPr/>
          <w:p>
            <w:pPr>
              <w:pStyle w:val="Compact"/>
            </w:pPr>
            <w:r>
              <w:t xml:space="preserve">0.88</w:t>
            </w:r>
          </w:p>
        </w:tc>
        <w:tc>
          <w:tcPr/>
          <w:p>
            <w:pPr>
              <w:pStyle w:val="Compact"/>
            </w:pPr>
            <w:r>
              <w:t xml:space="preserve">[0.76, 1.01]</w:t>
            </w:r>
          </w:p>
        </w:tc>
        <w:tc>
          <w:tcPr/>
          <w:p>
            <w:pPr>
              <w:pStyle w:val="Compact"/>
            </w:pPr>
            <w:r>
              <w:t xml:space="preserve">.074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Region: Østlandet</w:t>
            </w:r>
          </w:p>
        </w:tc>
        <w:tc>
          <w:tcPr/>
          <w:p>
            <w:pPr>
              <w:pStyle w:val="Compact"/>
            </w:pPr>
            <w:r>
              <w:t xml:space="preserve">0.93</w:t>
            </w:r>
          </w:p>
        </w:tc>
        <w:tc>
          <w:tcPr/>
          <w:p>
            <w:pPr>
              <w:pStyle w:val="Compact"/>
            </w:pPr>
            <w:r>
              <w:t xml:space="preserve">[0.82, 1.05]</w:t>
            </w:r>
          </w:p>
        </w:tc>
        <w:tc>
          <w:tcPr/>
          <w:p>
            <w:pPr>
              <w:pStyle w:val="Compact"/>
            </w:pPr>
            <w:r>
              <w:t xml:space="preserve">.219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Region: Midt-Norge</w:t>
            </w:r>
          </w:p>
        </w:tc>
        <w:tc>
          <w:tcPr/>
          <w:p>
            <w:pPr>
              <w:pStyle w:val="Compact"/>
            </w:pPr>
            <w:r>
              <w:t xml:space="preserve">1.02</w:t>
            </w:r>
          </w:p>
        </w:tc>
        <w:tc>
          <w:tcPr/>
          <w:p>
            <w:pPr>
              <w:pStyle w:val="Compact"/>
            </w:pPr>
            <w:r>
              <w:t xml:space="preserve">[0.89, 1.16]</w:t>
            </w:r>
          </w:p>
        </w:tc>
        <w:tc>
          <w:tcPr/>
          <w:p>
            <w:pPr>
              <w:pStyle w:val="Compact"/>
            </w:pPr>
            <w:r>
              <w:t xml:space="preserve">.785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Club size (z)</w:t>
            </w:r>
          </w:p>
        </w:tc>
        <w:tc>
          <w:tcPr/>
          <w:p>
            <w:pPr>
              <w:pStyle w:val="Compact"/>
            </w:pPr>
            <w:r>
              <w:t xml:space="preserve">1.02</w:t>
            </w:r>
          </w:p>
        </w:tc>
        <w:tc>
          <w:tcPr/>
          <w:p>
            <w:pPr>
              <w:pStyle w:val="Compact"/>
            </w:pPr>
            <w:r>
              <w:t xml:space="preserve">[0.97, 1.07]</w:t>
            </w:r>
          </w:p>
        </w:tc>
        <w:tc>
          <w:tcPr/>
          <w:p>
            <w:pPr>
              <w:pStyle w:val="Compact"/>
            </w:pPr>
            <w:r>
              <w:t xml:space="preserve">.517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Note.</w:t>
      </w:r>
      <w:r>
        <w:t xml:space="preserve"> </w:t>
      </w:r>
      <w:r>
        <w:t xml:space="preserve">n = 1,704; C-index = 0.742. Higher HHI (specialization) associated with lower dropout hazard.</w:t>
      </w:r>
    </w:p>
    <w:bookmarkEnd w:id="32"/>
    <w:bookmarkStart w:id="33" w:name="Xf13287c4a9ad644959b75465c58f32083ba4e76"/>
    <w:p>
      <w:pPr>
        <w:pStyle w:val="Heading2"/>
      </w:pPr>
      <w:r>
        <w:t xml:space="preserve">Table S17. Cross-validated AUC for nested predictor subsets predicting senior retention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Predictor set</w:t>
            </w:r>
          </w:p>
        </w:tc>
        <w:tc>
          <w:tcPr/>
          <w:p>
            <w:pPr>
              <w:pStyle w:val="Compact"/>
            </w:pPr>
            <w:r>
              <w:t xml:space="preserve">n features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AUC (logistic)</w:t>
            </w:r>
          </w:p>
        </w:tc>
        <w:tc>
          <w:tcPr/>
          <w:p>
            <w:pPr>
              <w:pStyle w:val="Compact"/>
            </w:pPr>
            <w:r>
              <w:t xml:space="preserve">AUC (random forest)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 only (sex + Tyrving best)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1,217</w:t>
            </w:r>
          </w:p>
        </w:tc>
        <w:tc>
          <w:tcPr/>
          <w:p>
            <w:pPr>
              <w:pStyle w:val="Compact"/>
            </w:pPr>
            <w:r>
              <w:t xml:space="preserve">0.59 (±0.04)</w:t>
            </w:r>
          </w:p>
        </w:tc>
        <w:tc>
          <w:tcPr/>
          <w:p>
            <w:pPr>
              <w:pStyle w:val="Compact"/>
            </w:pPr>
            <w:r>
              <w:t xml:space="preserve">0.58 (±0.02)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Specialization only (sex + HHI + n categories)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1,217</w:t>
            </w:r>
          </w:p>
        </w:tc>
        <w:tc>
          <w:tcPr/>
          <w:p>
            <w:pPr>
              <w:pStyle w:val="Compact"/>
            </w:pPr>
            <w:r>
              <w:t xml:space="preserve">0.60 (±0.06)</w:t>
            </w:r>
          </w:p>
        </w:tc>
        <w:tc>
          <w:tcPr/>
          <w:p>
            <w:pPr>
              <w:pStyle w:val="Compact"/>
            </w:pPr>
            <w:r>
              <w:t xml:space="preserve">0.57 (±0.05)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Volume only (sex + meets ages 13–16)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1,217</w:t>
            </w:r>
          </w:p>
        </w:tc>
        <w:tc>
          <w:tcPr/>
          <w:p>
            <w:pPr>
              <w:pStyle w:val="Compact"/>
            </w:pPr>
            <w:r>
              <w:t xml:space="preserve">0.82 (±0.03)</w:t>
            </w:r>
          </w:p>
        </w:tc>
        <w:tc>
          <w:tcPr/>
          <w:p>
            <w:pPr>
              <w:pStyle w:val="Compact"/>
            </w:pPr>
            <w:r>
              <w:t xml:space="preserve">0.80 (±0.03)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Volume + specialization (pre-baseline behavioral)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1,217</w:t>
            </w:r>
          </w:p>
        </w:tc>
        <w:tc>
          <w:tcPr/>
          <w:p>
            <w:pPr>
              <w:pStyle w:val="Compact"/>
            </w:pPr>
            <w:r>
              <w:t xml:space="preserve">0.82 (±0.03)</w:t>
            </w:r>
          </w:p>
        </w:tc>
        <w:tc>
          <w:tcPr/>
          <w:p>
            <w:pPr>
              <w:pStyle w:val="Compact"/>
            </w:pPr>
            <w:r>
              <w:t xml:space="preserve">0.80 (±0.03)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model (all 22 predictors)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1,217</w:t>
            </w:r>
          </w:p>
        </w:tc>
        <w:tc>
          <w:tcPr/>
          <w:p>
            <w:pPr>
              <w:pStyle w:val="Compact"/>
            </w:pPr>
            <w:r>
              <w:t xml:space="preserve">0.81 (±0.03)</w:t>
            </w:r>
          </w:p>
        </w:tc>
        <w:tc>
          <w:tcPr/>
          <w:p>
            <w:pPr>
              <w:pStyle w:val="Compact"/>
            </w:pPr>
            <w:r>
              <w:t xml:space="preserve">0.82 (±0.03)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Note.</w:t>
      </w:r>
      <w:r>
        <w:t xml:space="preserve"> </w:t>
      </w:r>
      <w:r>
        <w:t xml:space="preserve">This table includes post-baseline behavioral predictors (ages 15–16) and therefore overlaps with the early portion of the at-risk window; AUCs are descriptive rather than ordinary prospective prediction quantities.</w:t>
      </w:r>
    </w:p>
    <w:bookmarkEnd w:id="33"/>
    <w:bookmarkStart w:id="34" w:name="X5c379b90a60abcbc0b20a4588c7355781c67088"/>
    <w:p>
      <w:pPr>
        <w:pStyle w:val="Heading2"/>
      </w:pPr>
      <w:r>
        <w:t xml:space="preserve">Table S18. Specialization-vs-performance confound check: does HHI proxy for performance in the primary event category?</w:t>
      </w:r>
    </w:p>
    <w:p>
      <w:pPr>
        <w:pStyle w:val="FirstParagraph"/>
      </w:pPr>
      <w:r>
        <w:t xml:space="preserve">Three logistic-regression specifications for active senior status. Model A is the primary L4 model (using maximum Tyrving across all baseline events). Model B adds the best Tyrving score in the athlete’s</w:t>
      </w:r>
      <w:r>
        <w:t xml:space="preserve"> </w:t>
      </w:r>
      <w:r>
        <w:rPr>
          <w:i/>
          <w:iCs/>
        </w:rPr>
        <w:t xml:space="preserve">primary</w:t>
      </w:r>
      <w:r>
        <w:t xml:space="preserve"> </w:t>
      </w:r>
      <w:r>
        <w:t xml:space="preserve">baseline event category (tyrving_main). Model C replaces tyrving_best with tyrving_main.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Covariate</w:t>
            </w:r>
          </w:p>
        </w:tc>
        <w:tc>
          <w:tcPr/>
          <w:p>
            <w:pPr>
              <w:pStyle w:val="Compact"/>
            </w:pPr>
            <w:r>
              <w:t xml:space="preserve">OR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  <w:r>
              <w:t xml:space="preserve">: Primary L4 (with tyrving_best)</w:t>
            </w:r>
          </w:p>
        </w:tc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0.61</w:t>
            </w:r>
          </w:p>
        </w:tc>
        <w:tc>
          <w:tcPr/>
          <w:p>
            <w:pPr>
              <w:pStyle w:val="Compact"/>
            </w:pPr>
            <w:r>
              <w:t xml:space="preserve">[0.46, 0.80]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 = 1,704</w:t>
            </w:r>
          </w:p>
        </w:tc>
        <w:tc>
          <w:tcPr/>
          <w:p>
            <w:pPr>
              <w:pStyle w:val="Compact"/>
            </w:pPr>
            <w:r>
              <w:t xml:space="preserve">Tyrving best (z)</w:t>
            </w:r>
          </w:p>
        </w:tc>
        <w:tc>
          <w:tcPr/>
          <w:p>
            <w:pPr>
              <w:pStyle w:val="Compact"/>
            </w:pPr>
            <w:r>
              <w:t xml:space="preserve">1.12</w:t>
            </w:r>
          </w:p>
        </w:tc>
        <w:tc>
          <w:tcPr/>
          <w:p>
            <w:pPr>
              <w:pStyle w:val="Compact"/>
            </w:pPr>
            <w:r>
              <w:t xml:space="preserve">[0.96, 1.30]</w:t>
            </w:r>
          </w:p>
        </w:tc>
        <w:tc>
          <w:tcPr/>
          <w:p>
            <w:pPr>
              <w:pStyle w:val="Compact"/>
            </w:pPr>
            <w:r>
              <w:t xml:space="preserve">.144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HHI early (z)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1.36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[1.17, 1.57]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 .001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Pre-milestone volume (z)</w:t>
            </w:r>
          </w:p>
        </w:tc>
        <w:tc>
          <w:tcPr/>
          <w:p>
            <w:pPr>
              <w:pStyle w:val="Compact"/>
            </w:pPr>
            <w:r>
              <w:t xml:space="preserve">2.40</w:t>
            </w:r>
          </w:p>
        </w:tc>
        <w:tc>
          <w:tcPr/>
          <w:p>
            <w:pPr>
              <w:pStyle w:val="Compact"/>
            </w:pPr>
            <w:r>
              <w:t xml:space="preserve">[2.08, 2.76]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  <w:r>
              <w:t xml:space="preserve">: + Tyrving in primary category</w:t>
            </w:r>
          </w:p>
        </w:tc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0.62</w:t>
            </w:r>
          </w:p>
        </w:tc>
        <w:tc>
          <w:tcPr/>
          <w:p>
            <w:pPr>
              <w:pStyle w:val="Compact"/>
            </w:pPr>
            <w:r>
              <w:t xml:space="preserve">[0.47, 0.83]</w:t>
            </w:r>
          </w:p>
        </w:tc>
        <w:tc>
          <w:tcPr/>
          <w:p>
            <w:pPr>
              <w:pStyle w:val="Compact"/>
            </w:pPr>
            <w:r>
              <w:t xml:space="preserve">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 = 1,521</w:t>
            </w:r>
          </w:p>
        </w:tc>
        <w:tc>
          <w:tcPr/>
          <w:p>
            <w:pPr>
              <w:pStyle w:val="Compact"/>
            </w:pPr>
            <w:r>
              <w:t xml:space="preserve">Tyrving best (z)</w:t>
            </w:r>
          </w:p>
        </w:tc>
        <w:tc>
          <w:tcPr/>
          <w:p>
            <w:pPr>
              <w:pStyle w:val="Compact"/>
            </w:pPr>
            <w:r>
              <w:t xml:space="preserve">1.08</w:t>
            </w:r>
          </w:p>
        </w:tc>
        <w:tc>
          <w:tcPr/>
          <w:p>
            <w:pPr>
              <w:pStyle w:val="Compact"/>
            </w:pPr>
            <w:r>
              <w:t xml:space="preserve">[0.89, 1.31]</w:t>
            </w:r>
          </w:p>
        </w:tc>
        <w:tc>
          <w:tcPr/>
          <w:p>
            <w:pPr>
              <w:pStyle w:val="Compact"/>
            </w:pPr>
            <w:r>
              <w:t xml:space="preserve">.428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HHI early (z)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1.32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[1.13, 1.54]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 .001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Pre-milestone volume (z)</w:t>
            </w:r>
          </w:p>
        </w:tc>
        <w:tc>
          <w:tcPr/>
          <w:p>
            <w:pPr>
              <w:pStyle w:val="Compact"/>
            </w:pPr>
            <w:r>
              <w:t xml:space="preserve">2.31</w:t>
            </w:r>
          </w:p>
        </w:tc>
        <w:tc>
          <w:tcPr/>
          <w:p>
            <w:pPr>
              <w:pStyle w:val="Compact"/>
            </w:pPr>
            <w:r>
              <w:t xml:space="preserve">[1.97, 2.71]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Tyrving main category (z)</w:t>
            </w:r>
          </w:p>
        </w:tc>
        <w:tc>
          <w:tcPr/>
          <w:p>
            <w:pPr>
              <w:pStyle w:val="Compact"/>
            </w:pPr>
            <w:r>
              <w:t xml:space="preserve">1.08</w:t>
            </w:r>
          </w:p>
        </w:tc>
        <w:tc>
          <w:tcPr/>
          <w:p>
            <w:pPr>
              <w:pStyle w:val="Compact"/>
            </w:pPr>
            <w:r>
              <w:t xml:space="preserve">[0.89, 1.32]</w:t>
            </w:r>
          </w:p>
        </w:tc>
        <w:tc>
          <w:tcPr/>
          <w:p>
            <w:pPr>
              <w:pStyle w:val="Compact"/>
            </w:pPr>
            <w:r>
              <w:t xml:space="preserve">.445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  <w:r>
              <w:t xml:space="preserve">: Tyrving main replaces tyrving_best</w:t>
            </w:r>
          </w:p>
        </w:tc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0.62</w:t>
            </w:r>
          </w:p>
        </w:tc>
        <w:tc>
          <w:tcPr/>
          <w:p>
            <w:pPr>
              <w:pStyle w:val="Compact"/>
            </w:pPr>
            <w:r>
              <w:t xml:space="preserve">[0.47, 0.83]</w:t>
            </w:r>
          </w:p>
        </w:tc>
        <w:tc>
          <w:tcPr/>
          <w:p>
            <w:pPr>
              <w:pStyle w:val="Compact"/>
            </w:pPr>
            <w:r>
              <w:t xml:space="preserve">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 = 1,632</w:t>
            </w:r>
          </w:p>
        </w:tc>
        <w:tc>
          <w:tcPr/>
          <w:p>
            <w:pPr>
              <w:pStyle w:val="Compact"/>
            </w:pPr>
            <w:r>
              <w:t xml:space="preserve">Tyrving main category (z)</w:t>
            </w:r>
          </w:p>
        </w:tc>
        <w:tc>
          <w:tcPr/>
          <w:p>
            <w:pPr>
              <w:pStyle w:val="Compact"/>
            </w:pPr>
            <w:r>
              <w:t xml:space="preserve">1.13</w:t>
            </w:r>
          </w:p>
        </w:tc>
        <w:tc>
          <w:tcPr/>
          <w:p>
            <w:pPr>
              <w:pStyle w:val="Compact"/>
            </w:pPr>
            <w:r>
              <w:t xml:space="preserve">[0.96, 1.34]</w:t>
            </w:r>
          </w:p>
        </w:tc>
        <w:tc>
          <w:tcPr/>
          <w:p>
            <w:pPr>
              <w:pStyle w:val="Compact"/>
            </w:pPr>
            <w:r>
              <w:t xml:space="preserve">.128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HHI early (z)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1.33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[1.15, 1.54]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 .001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Pre-milestone volume (z)</w:t>
            </w:r>
          </w:p>
        </w:tc>
        <w:tc>
          <w:tcPr/>
          <w:p>
            <w:pPr>
              <w:pStyle w:val="Compact"/>
            </w:pPr>
            <w:r>
              <w:t xml:space="preserve">2.32</w:t>
            </w:r>
          </w:p>
        </w:tc>
        <w:tc>
          <w:tcPr/>
          <w:p>
            <w:pPr>
              <w:pStyle w:val="Compact"/>
            </w:pPr>
            <w:r>
              <w:t xml:space="preserve">[1.99, 2.70]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Note.</w:t>
      </w:r>
      <w:r>
        <w:t xml:space="preserve"> </w:t>
      </w:r>
      <w:r>
        <w:t xml:space="preserve">Correlations: HHI early vs. Tyrving best, r = –0.07; HHI early vs. Tyrving main category, r = –0.05; Tyrving best vs. Tyrving main, r = 0.63. HHI and performance are essentially uncorrelated. The HHI effect is virtually identical across the three specifications (OR 1.32–1.36), and primary-category Tyrving is itself not a significant predictor of retention in any model. The HHI association is therefore not capturing a hidden main-event performance effect.</w:t>
      </w:r>
    </w:p>
    <w:p>
      <w:pPr>
        <w:pStyle w:val="BodyText"/>
      </w:pPr>
      <w:r>
        <w:rPr>
          <w:i/>
          <w:iCs/>
        </w:rPr>
        <w:t xml:space="preserve">Note.</w:t>
      </w:r>
      <w:r>
        <w:t xml:space="preserve"> </w:t>
      </w:r>
      <w:r>
        <w:t xml:space="preserve">This table includes post-baseline behavioral predictors (ages 15–16) and therefore overlaps with the early portion of the at-risk window; AUCs are descriptive rather than ordinary prospective prediction quantities.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2026-05-23T20:39:29Z</dcterms:created>
  <dcterms:modified xsi:type="dcterms:W3CDTF">2026-05-23T20:39:29Z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