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“Pulling back before dropout: Behavioral disengagement precedes youth-sport exit by years in a 14-year register study,”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six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Baseline-window competition volume (ages 13–14) provided the largest incremental contribution to prospective discrimination of senior retention in a baseline-only logistic regression (OR = 2.40 per SD, 95% CI [2.07, 2.78]; cross-validated AUC = 0.751). Effects were unchanged with structural controls (region, birth quarter, club size all non-significant). The behavioral signal decomposes into two substantial and independent components: baseline behavioral heterogeneity (volume at age 14, OR = 2.79) and a within-athlete pull-back across the age-14-to-15 transition (change OR = 2.44; pseudo-</w:t>
      </w:r>
      <w:r>
        <w:rPr>
          <w:i/>
          <w:iCs/>
        </w:rPr>
        <w:t xml:space="preserve">R</w:t>
      </w:r>
      <w:r>
        <w:t xml:space="preserve">² doubles from 0.11 to 0.23).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7,000 words plus a 1,400-word reference list, with seven main tables and three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(landmark analysis, pull-back vs typology decomposition, E-value, calibration, structural controls, detection-capacity benchmarking) and (ii) theoretical triangulation that establishes the contribution. Seventeen supplementary tables (S1–S17) and six supplementary figures (S0–S5, including a cohort-construction flow diagram)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2026-05-18T15:19:28Z</dcterms:created>
  <dcterms:modified xsi:type="dcterms:W3CDTF">2026-05-18T15:19:28Z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