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[Date]</w:t>
      </w:r>
    </w:p>
    <w:p>
      <w:pPr>
        <w:pStyle w:val="BodyText"/>
      </w:pPr>
      <w:r>
        <w:t xml:space="preserve">Editors-in-Chief</w:t>
      </w:r>
      <w:r>
        <w:t xml:space="preserve"> </w:t>
      </w:r>
      <w:r>
        <w:rPr>
          <w:i/>
          <w:iCs/>
        </w:rPr>
        <w:t xml:space="preserve">Psychology of Sport and Exercise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I am pleased to submit the enclosed manuscript,</w:t>
      </w:r>
      <w:r>
        <w:t xml:space="preserve"> </w:t>
      </w:r>
      <w:r>
        <w:rPr>
          <w:b/>
          <w:bCs/>
        </w:rPr>
        <w:t xml:space="preserve">“Behavioral pathways out of youth competitive sport: A 14-year longitudinal registry study of Norwegian track and field athletes,”</w:t>
      </w:r>
      <w:r>
        <w:t xml:space="preserve"> </w:t>
      </w:r>
      <w:r>
        <w:t xml:space="preserve">for consideration as an original research article in</w:t>
      </w:r>
      <w:r>
        <w:t xml:space="preserve"> </w:t>
      </w:r>
      <w:r>
        <w:rPr>
          <w:i/>
          <w:iCs/>
        </w:rPr>
        <w:t xml:space="preserve">Psychology of Sport and Exercise</w:t>
      </w:r>
      <w:r>
        <w:t xml:space="preserve">.</w:t>
      </w:r>
    </w:p>
    <w:p>
      <w:pPr>
        <w:pStyle w:val="BodyText"/>
      </w:pPr>
      <w:r>
        <w:t xml:space="preserve">The paper addresses a question central to sport psychology and youth sport policy:</w:t>
      </w:r>
      <w:r>
        <w:t xml:space="preserve"> </w:t>
      </w:r>
      <w:r>
        <w:rPr>
          <w:i/>
          <w:iCs/>
        </w:rPr>
        <w:t xml:space="preserve">why do adolescents leave organized competitive sport, and can the process be observed before it concludes?</w:t>
      </w:r>
      <w:r>
        <w:t xml:space="preserve"> </w:t>
      </w:r>
      <w:r>
        <w:t xml:space="preserve">The qualitative and survey-based literature has long argued that dropout is a gradual deliberative process rather than a single decision (e.g., Eliasson &amp; Johansson, 2021; Espedalen &amp; Seippel, 2022). Yet the</w:t>
      </w:r>
      <w:r>
        <w:t xml:space="preserve"> </w:t>
      </w:r>
      <w:r>
        <w:rPr>
          <w:i/>
          <w:iCs/>
        </w:rPr>
        <w:t xml:space="preserve">longitudinal behavioral signature</w:t>
      </w:r>
      <w:r>
        <w:t xml:space="preserve"> </w:t>
      </w:r>
      <w:r>
        <w:t xml:space="preserve">of this process — what gradual disengagement actually looks like in the year-by-year activity of athletes who will eventually leave — has been hard to observe directly. Surveys lose dropped-out athletes through selection bias; interviews recover the process only retrospectively.</w:t>
      </w:r>
    </w:p>
    <w:p>
      <w:pPr>
        <w:pStyle w:val="BodyText"/>
      </w:pPr>
      <w:r>
        <w:t xml:space="preserve">This manuscript uses the Norwegian Athletics Federation’s complete public competition register to bridge that gap. We followed all 2,123 athletes who participated in five consecutive editions of a regional youth track-and-field meet (2011–2016) for up to 14 years, recording each athlete’s annual competition volume, event diversification, championship participation, and Tyrving age-norm performance points. The 14-year follow-up and complete-population design eliminate the recall and selection biases that limit prior dropout research.</w:t>
      </w:r>
    </w:p>
    <w:p>
      <w:pPr>
        <w:pStyle w:val="BodyText"/>
      </w:pPr>
      <w:r>
        <w:rPr>
          <w:b/>
          <w:bCs/>
        </w:rPr>
        <w:t xml:space="preserve">Principal findings.</w:t>
      </w:r>
      <w:r>
        <w:t xml:space="preserve"> </w:t>
      </w:r>
      <w:r>
        <w:t xml:space="preserve">Competition volume at age 15–16 — the qualification-milestone window — was the strongest single predictor of subsequent senior retention (Cox C-index 0.85, compared with 0.57 for a performance-and-sex model). Among athletes still demonstrably active at age 16, the same volume signal continued to be associated with subsequent retention (HR = 0.60, 95% CI [0.54, 0.66]) — addressing the concern that predictor and outcome share a measurement scale. Pre-milestone volume at ages 13–14 alone produced HR = 0.50, indicating that the behavioral signal is detectable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milestone window itself. Findings replicated across two independent birth-year cohorts (1998–2000 and 2001–2002).</w:t>
      </w:r>
    </w:p>
    <w:p>
      <w:pPr>
        <w:pStyle w:val="BodyText"/>
      </w:pPr>
      <w:r>
        <w:rPr>
          <w:b/>
          <w:bCs/>
        </w:rPr>
        <w:t xml:space="preserve">Fit with PSE.</w:t>
      </w:r>
      <w:r>
        <w:t xml:space="preserve"> </w:t>
      </w:r>
      <w:r>
        <w:t xml:space="preserve">The manuscript is a strong fit for</w:t>
      </w:r>
      <w:r>
        <w:t xml:space="preserve"> </w:t>
      </w:r>
      <w:r>
        <w:rPr>
          <w:i/>
          <w:iCs/>
        </w:rPr>
        <w:t xml:space="preserve">Psychology of Sport and Exercise</w:t>
      </w:r>
      <w:r>
        <w:t xml:space="preserve"> </w:t>
      </w:r>
      <w:r>
        <w:t xml:space="preserve">on three grounds. First, the central theoretical scaffolding spans the Sport Commitment Model (Scanlan et al., 1993, 2016) — Scanlan’s SCQ-2 was published in PSE itself — supplemented by Self-determination theory (Ryan &amp; Deci, 2000; Vallerand, 1997, 2007; Sarrazin et al., 2002) and the withdrawal-as-process tradition (Eliasson &amp; Johansson, 2021; Espedalen &amp; Seippel, 2022). Second, the design supplies the kind of</w:t>
      </w:r>
      <w:r>
        <w:t xml:space="preserve"> </w:t>
      </w:r>
      <w:r>
        <w:rPr>
          <w:i/>
          <w:iCs/>
        </w:rPr>
        <w:t xml:space="preserve">longitudinal behavioral</w:t>
      </w:r>
      <w:r>
        <w:t xml:space="preserve"> </w:t>
      </w:r>
      <w:r>
        <w:t xml:space="preserve">evidence that has been missing from a literature dominated by cross-sectional surveys and short-prospective designs. Third, the practical implications — that federations and clubs can use register-based behavioral surveillance (positive predictive value ≥ 0.95 across plausible thresholds) to identify athletes at risk of dropout with 2–3 years of lead time — are directly actionable for the applied audiences PSE serves.</w:t>
      </w:r>
    </w:p>
    <w:p>
      <w:pPr>
        <w:pStyle w:val="BodyText"/>
      </w:pPr>
      <w:r>
        <w:rPr>
          <w:b/>
          <w:bCs/>
        </w:rPr>
        <w:t xml:space="preserve">Methodological rigor.</w:t>
      </w:r>
      <w:r>
        <w:t xml:space="preserve"> </w:t>
      </w:r>
      <w:r>
        <w:t xml:space="preserve">I have made every effort to anticipate the methodological concerns that arise with observational survival analysis at this scale. The proportional-hazards assumption was tested (Schoenfeld residuals, Table S1) and addressed where violated via period-specific Cox modelling (Table 5). A landmark analysis at age 16 (Table 4) directly tests for measurement-tautology between predictor and outcome — the dominant effect (HR 0.60) survives. The sensitivity of effects to unmeasured confounding is quantified via E-value (E = 5.16 for the primary effect; Table S3). Estimates are robust to outcome definition (Table S9), clustering by club (Table S2), mean-imputation of missing data (Table S5), and exclusion of zero-volume athletes (Table S11). Sample-size sensitivity (Table S4), cross-cohort replication (Table 7), and sex-stratified subgroup analyses (Table S7) confirm the substantive conclusion. The manuscript is written so that the behavioral signal is described as a</w:t>
      </w:r>
      <w:r>
        <w:t xml:space="preserve"> </w:t>
      </w:r>
      <w:r>
        <w:rPr>
          <w:i/>
          <w:iCs/>
        </w:rPr>
        <w:t xml:space="preserve">marker</w:t>
      </w:r>
      <w:r>
        <w:t xml:space="preserve"> </w:t>
      </w:r>
      <w:r>
        <w:t xml:space="preserve">of progressive disengagement, not as a direct measurement of motivation or commitment — this is an empirical contribution to a theoretical conversation, not a theoretical claim in itself.</w:t>
      </w:r>
    </w:p>
    <w:p>
      <w:pPr>
        <w:pStyle w:val="BodyText"/>
      </w:pPr>
      <w:r>
        <w:rPr>
          <w:b/>
          <w:bCs/>
        </w:rPr>
        <w:t xml:space="preserve">Compliance and length.</w:t>
      </w:r>
      <w:r>
        <w:t xml:space="preserve"> </w:t>
      </w:r>
      <w:r>
        <w:t xml:space="preserve">The main manuscript runs approximately 7,100 words plus a 1,200-word reference list, with seven main tables and four figures. Including references the total is approximately 8,400 words — modestly above the journal’s 8,000-word target. I respectfully request consideration of this length on the grounds that the additional words are concentrated in (i) methodological rigor anticipating reviewer concerns (PH testing, time-varying analysis, landmark analysis, E-value, calibration, sensitivity analyses) and (ii) theoretical triangulation that establishes the contribution. Twelve supplementary tables (S1–S12) and two supplementary figures (S1–S2) are housed in supplementary material and do not contribute to main-text length.</w:t>
      </w:r>
    </w:p>
    <w:p>
      <w:pPr>
        <w:pStyle w:val="BodyText"/>
      </w:pPr>
      <w:r>
        <w:t xml:space="preserve">Analysis follows STROBE reporting guidance for observational studies (von Elm et al., 2007) and SAGER guidance for sex/gender reporting (Heidari et al., 2016). All data sources are public; no individual is identifiable in the analysis or the manuscript. The submission is prepared for double-anonymized peer review, with the title page submitted separately. Disclosure of generative-AI use in manuscript preparation appears in a dedicated section before the references list, per the journal’s policy. I confirm that the manuscript is not under consideration elsewhere and that I have no competing interests.</w:t>
      </w:r>
    </w:p>
    <w:p>
      <w:pPr>
        <w:pStyle w:val="BodyText"/>
      </w:pPr>
      <w:r>
        <w:t xml:space="preserve">I look forward to receiving the editors’ and reviewers’ feedback. Thank you for considering this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Atle Guttormsen, PhD</w:t>
      </w:r>
      <w:r>
        <w:t xml:space="preserve"> </w:t>
      </w:r>
      <w:r>
        <w:t xml:space="preserve">School of Economics and Business</w:t>
      </w:r>
      <w:r>
        <w:t xml:space="preserve"> </w:t>
      </w:r>
      <w:r>
        <w:t xml:space="preserve">Norwegian University of Life Sciences (NMBU)</w:t>
      </w:r>
      <w:r>
        <w:t xml:space="preserve"> </w:t>
      </w:r>
      <w:r>
        <w:t xml:space="preserve">atle.guttormsen@nmbu.no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2026-05-18T00:20:52Z</dcterms:created>
  <dcterms:modified xsi:type="dcterms:W3CDTF">2026-05-18T00:20:52Z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