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This pattern is a recurring concern for federations and clubs, but its temporal structure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a smaller committed/investor group and a larger casual/sampler group — that respond differently when the demands of organized sport escalate around the qualification-milestone years (in Norwegian track and field, the Youth National Championships at age 15–16 and the Junior National Championships at age 17–19).</w:t>
      </w:r>
    </w:p>
    <w:bookmarkEnd w:id="11"/>
    <w:bookmarkStart w:id="12" w:name="the-quantitative-gap"/>
    <w:p>
      <w:pPr>
        <w:pStyle w:val="Heading2"/>
      </w:pPr>
      <w:r>
        <w:t xml:space="preserve">1.2 The quantitative gap</w:t>
      </w:r>
    </w:p>
    <w:p>
      <w:pPr>
        <w:pStyle w:val="FirstParagraph"/>
      </w:pPr>
      <w:r>
        <w:t xml:space="preserve">What this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are systematically harder to recruit into surveys (Eime et al., 2013), so the most informative cases tend to be missing. Second, the hypothesized timescale (1–3 years) exceeds the follow-up window of most prospective designs; Sarrazin and colleagues’ (2002) 21-month study of female handballers is unusually long and still does not bridge the adolescent-to-junior transition.</w:t>
      </w:r>
    </w:p>
    <w:p>
      <w:pPr>
        <w:pStyle w:val="BodyText"/>
      </w:pPr>
      <w:r>
        <w:t xml:space="preserve">A separate quantitative tradition has focused on cross-sectional correlates of dropout — relative age effects (Cobley et al., 2009; Wattie et al., 2015), early specialization (DiFiori et al., 2014; Jayanthi et al., 2015; Côté &amp; Hancock, 2016; Güllich et al., 2022) — and on short longitudinal designs measuring proximal psychological correlates such as exhaustion, burnout, and motivational climate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note that current expert and algorithmic approaches to athlete development have been applied to selection rather than to retention; behavioral surveillance of competitive engagement is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using the Norwegian Athletics Federation’s complete public competition register.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predictive pattern should</w:t>
      </w:r>
      <w:r>
        <w:t xml:space="preserve"> </w:t>
      </w:r>
      <w:r>
        <w:rPr>
          <w:i/>
          <w:iCs/>
        </w:rPr>
        <w:t xml:space="preserve">replicate</w:t>
      </w:r>
      <w:r>
        <w:t xml:space="preserve"> </w:t>
      </w:r>
      <w:r>
        <w:t xml:space="preserve">across cohorts recruited under different sponsor regimes of the same meet (testing for cohort-specific artefacts).</w:t>
      </w:r>
    </w:p>
    <w:p>
      <w:pPr>
        <w:pStyle w:val="BodyText"/>
      </w:pPr>
      <w:r>
        <w:t xml:space="preserve">We address these questions in 2,123 Norwegian youth athletes followed for up to 14 years (Figure 1 summarizes the conceptual model). The design treats register-based competition behavior not as a direct measure of motivation but as an observable behavioral marker whose temporal structure can be compared against the predictions of accounts that have hitherto rested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not artefacts of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2026-05-18T00:20:51Z</dcterms:created>
  <dcterms:modified xsi:type="dcterms:W3CDTF">2026-05-18T00:20:51Z</dcterms:modified>
</cp:coreProperties>
</file>

<file path=docProps/custom.xml><?xml version="1.0" encoding="utf-8"?>
<Properties xmlns="http://schemas.openxmlformats.org/officeDocument/2006/custom-properties" xmlns:vt="http://schemas.openxmlformats.org/officeDocument/2006/docPropsVTypes"/>
</file>