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 Declining competition participation 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 Tables S10 and S16) contains a baseline-only predictor set;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 We additionally estimated (a) a landmark analysis (van Houwelingen, 2007) restricted to athletes still in their career at age 16, that is, with a final active season at 16 or later (n = 1,148, complete-case n = 1,147; Supplementary Table S8), and (b) a post-baseline Cox specification with ages-15–16 covariates (Table 5 gives the period-specific decomposition; Supplementary Figure S4 gives its forest plot, and Supplementary Table S6 the HHI-stratified variant); the latter is interpreted with caveats about operational overlap between predictor and outcome windows. Two properties of the landmark analysis deserve note. First, the at-risk set excludes athletes who had already exited; the earlier entry rule (≥1 result at 16) admitted 71 athletes whose final active season was before 16, whose events therefore preceded time zero. 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 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 1,747 events in the baseline-only Cox model (clock from the end of the age-14 season) at α = .05 and 80% power yield HR_min ≈ 1.07 per SD (≈ 1.14 for a balanced binary covariate); the omitted variance-inflation factor for covariate correlation would move this only trivially (to ≈ 1.07–1.08 at ρ ≈ .3–.45). For the primary logistic analysis (n = 2,136, 347 retainers), the normal-covariate approximation gives a minimum detectable odds ratio of ≈ 1.18 per SD at 80% power (a simulation with 300 replicates per grid point places it between 1.15 and 1.20; Supplementary Table S4).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 Performance scoring, missing data, multiple imputation, and athletes without registered sex</w:t>
      </w:r>
    </w:p>
    <w:p>
      <w:pPr>
        <w:pStyle w:val="FirstParagraph"/>
      </w:pPr>
      <w:r>
        <w:rPr>
          <w:i/>
          <w:iCs/>
        </w:rPr>
        <w:t xml:space="preserve">Tyrving scoring.</w:t>
      </w:r>
      <w:r>
        <w:t xml:space="preserve"> </w:t>
      </w:r>
      <w: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i/>
          <w:iCs/>
        </w:rPr>
        <w:t xml:space="preserve">Missing data.</w:t>
      </w:r>
      <w:r>
        <w:t xml:space="preserve"> </w:t>
      </w:r>
      <w: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i/>
          <w:iCs/>
        </w:rPr>
        <w:t xml:space="preserve">Athletes without registered sex.</w:t>
      </w:r>
      <w:r>
        <w:t xml:space="preserve"> </w:t>
      </w:r>
      <w: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 Cross-validation, calibration, and comparison of discrimination</w:t>
      </w:r>
    </w:p>
    <w:p>
      <w:pPr>
        <w:pStyle w:val="FirstParagraph"/>
      </w:pPr>
      <w: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(16.3%), the primary odds ratio is first converted to an approximate risk ratio via RR ≈ √OR before applying E = RR + √(RR(RR − 1)): OR 2.04 → RR ≈ 1.43 → E ≈ 2.2 (CI bound 2.0). The baseline-only Cox hazard ratio (0.65 per SD, time zero at the end of age 14) is converted with the common-outcome formula RR ≈ (1 − 0.5^√HR)/(1 − 0.5^√(1/HR)), inverted because the association is protective, giving E ≈ 2.0 (CI bound 1.9).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 and the within-athlete fixed-effects model</w:t>
      </w:r>
    </w:p>
    <w:p>
      <w:pPr>
        <w:pStyle w:val="FirstParagraph"/>
      </w:pPr>
      <w:r>
        <w:t xml:space="preserve">To test the within-athlete decline claim at the individual level, each dropout’s volume history was aligned to their own final active season (last calendar year with ≥2 results). For dropouts with final seasons at ages 15–19 (n = 1,146; ages outside 13–19 are unobserved in the per-age panel), we report median volumes at T−3, T−2, T−1, and T, the share still competing (&gt;0 meets) in the penultimate season, and, among dropouts with final seasons at 16+ (n = 800,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 1,088): active senior status on sex, volume at age 15 (per SD), and change in volume from 15 to 16 (per SD; volume at 16 minus volume at 15). All predictors are measured by age 16 and every athlete in the sample is, by construction, still active when measured; the outcome window begins at age 20. 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i/>
          <w:iCs/>
        </w:rPr>
        <w:t xml:space="preserve">Fixed-effects model.</w:t>
      </w:r>
      <w:r>
        <w:t xml:space="preserve"> </w:t>
      </w:r>
      <w: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p>
    <w:bookmarkEnd w:id="16"/>
    <w:bookmarkStart w:id="17" w:name="X0f49788f2b08e3dd81aaf7b2a9d7b342019f416"/>
    <w:p>
      <w:pPr>
        <w:pStyle w:val="Heading2"/>
      </w:pPr>
      <w:r>
        <w:t xml:space="preserve">S-M8. HHI window, count-dependence stress tests, and combined events</w:t>
      </w:r>
    </w:p>
    <w:p>
      <w:pPr>
        <w:pStyle w:val="FirstParagraph"/>
      </w:pPr>
      <w: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 Because HHI ≥ 1/n for an athlete with n results, low result counts mechanically inflate apparent concentration. Three checks (Supplementary Table S20): Spearman correlations of HHI with result and meet counts at ages 13–14; refits of the primary model restricted to athletes with ≥5 and ≥8 results at ages 13–14; and a refit replacing HHI with the finite-sample-corrected index HHI* = (HHI − 1/n)/(1 − 1/n).</w:t>
      </w:r>
    </w:p>
    <w:bookmarkEnd w:id="17"/>
    <w:bookmarkStart w:id="18" w:name="X9a7c30373467ed74cde1fc49ce9ad1eff70b5c9"/>
    <w:p>
      <w:pPr>
        <w:pStyle w:val="Heading2"/>
      </w:pPr>
      <w:r>
        <w:t xml:space="preserve">S-M9. Derivation and validation of early-warning thresholds across birth cohorts</w:t>
      </w:r>
    </w:p>
    <w:p>
      <w:pPr>
        <w:pStyle w:val="FirstParagraph"/>
      </w:pPr>
      <w: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t xml:space="preserve">S-M10. Temporary gaps, returns, and alternative event definitions</w:t>
      </w:r>
    </w:p>
    <w:p>
      <w:pPr>
        <w:pStyle w:val="FirstParagraph"/>
      </w:pPr>
      <w: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t xml:space="preserve">S-M11. The cohort within the register population</w:t>
      </w:r>
    </w:p>
    <w:p>
      <w:pPr>
        <w:pStyle w:val="FirstParagraph"/>
      </w:pPr>
      <w: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845eb84bfd1c59a3ef52f92cd7d77122fb4ff05"/>
    <w:p>
      <w:pPr>
        <w:pStyle w:val="Heading2"/>
      </w:pPr>
      <w:r>
        <w:t xml:space="preserve">S-M12. Data preparation and corrections made during the revision</w:t>
      </w:r>
    </w:p>
    <w:p>
      <w:pPr>
        <w:pStyle w:val="FirstParagraph"/>
      </w:pPr>
      <w:r>
        <w:t xml:space="preserve">Before the revision we audited the data pipeline, re-deriving every variable from the register; the original analysis file was exactly reproducible from the original extract. The following corrections were made (code in the repository):</w:t>
      </w:r>
    </w:p>
    <w:p>
      <w:pPr>
        <w:pStyle w:val="Compact"/>
        <w:numPr>
          <w:ilvl w:val="0"/>
          <w:numId w:val="1001"/>
        </w:numPr>
      </w:pPr>
      <w:r>
        <w:t xml:space="preserve">Extraction: a deterministic re-extraction added 334 results missed by the original pagination and removed 332 duplicates.</w:t>
      </w:r>
    </w:p>
    <w:p>
      <w:pPr>
        <w:pStyle w:val="Compact"/>
        <w:numPr>
          <w:ilvl w:val="0"/>
          <w:numId w:val="1001"/>
        </w:numPr>
      </w:pPr>
      <w:r>
        <w:t xml:space="preserve">Baseline meet: identified by venue and date rather than by meet name, because two venue-days are registered under other names; all 2,123 original cohort members were confirmed and 15 missed participants added.</w:t>
      </w:r>
    </w:p>
    <w:p>
      <w:pPr>
        <w:pStyle w:val="Compact"/>
        <w:numPr>
          <w:ilvl w:val="0"/>
          <w:numId w:val="1001"/>
        </w:numPr>
      </w:pPr>
      <w:r>
        <w:t xml:space="preserve">Follow-up: results from the partial 2026 season were removed.</w:t>
      </w:r>
    </w:p>
    <w:p>
      <w:pPr>
        <w:pStyle w:val="Compact"/>
        <w:numPr>
          <w:ilvl w:val="0"/>
          <w:numId w:val="1001"/>
        </w:numPr>
      </w:pPr>
      <w:r>
        <w:t xml:space="preserve">Sex: register values after its July 2026 correction (S-M3).</w:t>
      </w:r>
    </w:p>
    <w:p>
      <w:pPr>
        <w:pStyle w:val="Compact"/>
        <w:numPr>
          <w:ilvl w:val="0"/>
          <w:numId w:val="1001"/>
        </w:numPr>
      </w:pPr>
      <w:r>
        <w:t xml:space="preserve">Region and club: region is read from events other than the 600 m, 1500 m and race walk, whose results from all venues are filed under one venue in 2013–2015; club is the club at the baseline meet (for Cohort A it had been the club of the athlete’s last result).</w:t>
      </w:r>
    </w:p>
    <w:p>
      <w:pPr>
        <w:pStyle w:val="Compact"/>
        <w:numPr>
          <w:ilvl w:val="0"/>
          <w:numId w:val="1001"/>
        </w:numPr>
      </w:pPr>
      <w:r>
        <w:t xml:space="preserve">Volume: counted as competition days, so that one day’s results filed under two meet records count once.</w:t>
      </w:r>
    </w:p>
    <w:p>
      <w:pPr>
        <w:pStyle w:val="Compact"/>
        <w:numPr>
          <w:ilvl w:val="0"/>
          <w:numId w:val="1001"/>
        </w:numPr>
      </w:pPr>
      <w:r>
        <w:t xml:space="preserve">Tyrving: the workbook’s formulas for 600 m and longer races, race walking, throws and pole vault (S-M3).</w:t>
      </w:r>
    </w:p>
    <w:p>
      <w:pPr>
        <w:pStyle w:val="Compact"/>
        <w:numPr>
          <w:ilvl w:val="0"/>
          <w:numId w:val="1001"/>
        </w:numPr>
      </w:pPr>
      <w:r>
        <w:t xml:space="preserve">Secondary analyses: the time origin of the baseline-only Cox model and the at-risk set of the age-16 landmark (S-M1); club-clustered and population-averaged estimates (S-M7); the cross-validated calibration figure (Supplementary Figure S1); the register-population comparison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t xml:space="preserve">Nadeau, C., &amp; Bengio, Y. (2003). Inference for the generalization error.</w:t>
      </w:r>
      <w:r>
        <w:t xml:space="preserve"> </w:t>
      </w:r>
      <w:r>
        <w:rPr>
          <w:i/>
          <w:iCs/>
        </w:rPr>
        <w:t xml:space="preserve">Machine Learning, 52</w:t>
      </w:r>
      <w: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t xml:space="preserve">van Buuren, S., &amp; Groothuis-Oudshoorn, K. (2011). mice: Multivariate imputation by chained equations in R.</w:t>
      </w:r>
      <w:r>
        <w:t xml:space="preserve"> </w:t>
      </w:r>
      <w:r>
        <w:rPr>
          <w:i/>
          <w:iCs/>
        </w:rPr>
        <w:t xml:space="preserve">Journal of Statistical Software, 45</w:t>
      </w:r>
      <w: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t xml:space="preserve">2.52</w:t>
            </w:r>
          </w:p>
        </w:tc>
        <w:tc>
          <w:tcPr/>
          <w:p>
            <w:pPr>
              <w:pStyle w:val="Compact"/>
            </w:pPr>
            <w:r>
              <w:t xml:space="preserve">.113</w:t>
            </w:r>
          </w:p>
        </w:tc>
      </w:tr>
      <w:tr>
        <w:tc>
          <w:tcPr/>
          <w:p>
            <w:pPr>
              <w:pStyle w:val="Compact"/>
            </w:pPr>
            <w:r>
              <w:t xml:space="preserve">Tyrving (z)</w:t>
            </w:r>
          </w:p>
        </w:tc>
        <w:tc>
          <w:tcPr/>
          <w:p>
            <w:pPr>
              <w:pStyle w:val="Compact"/>
            </w:pPr>
            <w:r>
              <w:t xml:space="preserve">0.34</w:t>
            </w:r>
          </w:p>
        </w:tc>
        <w:tc>
          <w:tcPr/>
          <w:p>
            <w:pPr>
              <w:pStyle w:val="Compact"/>
            </w:pPr>
            <w:r>
              <w:t xml:space="preserve">.560</w:t>
            </w:r>
          </w:p>
        </w:tc>
      </w:tr>
      <w:tr>
        <w:tc>
          <w:tcPr/>
          <w:p>
            <w:pPr>
              <w:pStyle w:val="Compact"/>
            </w:pPr>
            <w:r>
              <w:t xml:space="preserve">HHI, ages 13–14 (z)</w:t>
            </w:r>
          </w:p>
        </w:tc>
        <w:tc>
          <w:tcPr/>
          <w:p>
            <w:pPr>
              <w:pStyle w:val="Compact"/>
            </w:pPr>
            <w:r>
              <w:t xml:space="preserve">14.40</w:t>
            </w:r>
          </w:p>
        </w:tc>
        <w:tc>
          <w:tcPr/>
          <w:p>
            <w:pPr>
              <w:pStyle w:val="Compact"/>
            </w:pPr>
            <w:r>
              <w:t xml:space="preserve">&lt; .001</w:t>
            </w:r>
          </w:p>
        </w:tc>
      </w:tr>
      <w:tr>
        <w:tc>
          <w:tcPr/>
          <w:p>
            <w:pPr>
              <w:pStyle w:val="Compact"/>
            </w:pPr>
            <w:r>
              <w:t xml:space="preserve">Volume at age 15–16 (z)</w:t>
            </w:r>
          </w:p>
        </w:tc>
        <w:tc>
          <w:tcPr/>
          <w:p>
            <w:pPr>
              <w:pStyle w:val="Compact"/>
            </w:pPr>
            <w:r>
              <w:t xml:space="preserve">293.15</w:t>
            </w:r>
          </w:p>
        </w:tc>
        <w:tc>
          <w:tcPr/>
          <w:p>
            <w:pPr>
              <w:pStyle w:val="Compact"/>
            </w:pPr>
            <w:r>
              <w:t xml:space="preserve">&lt; .001</w:t>
            </w:r>
          </w:p>
        </w:tc>
      </w:tr>
      <w:tr>
        <w:tc>
          <w:tcPr/>
          <w:p>
            <w:pPr>
              <w:pStyle w:val="Compact"/>
            </w:pPr>
            <w:r>
              <w:t xml:space="preserve">Championship types</w:t>
            </w:r>
          </w:p>
        </w:tc>
        <w:tc>
          <w:tcPr/>
          <w:p>
            <w:pPr>
              <w:pStyle w:val="Compact"/>
            </w:pPr>
            <w:r>
              <w:t xml:space="preserve">13.52</w:t>
            </w:r>
          </w:p>
        </w:tc>
        <w:tc>
          <w:tcPr/>
          <w:p>
            <w:pPr>
              <w:pStyle w:val="Compact"/>
            </w:pPr>
            <w: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t xml:space="preserve">1.15</w:t>
            </w:r>
          </w:p>
        </w:tc>
        <w:tc>
          <w:tcPr/>
          <w:p>
            <w:pPr>
              <w:pStyle w:val="Compact"/>
            </w:pPr>
            <w:r>
              <w:t xml:space="preserve">[1.02, 1.30]</w:t>
            </w:r>
          </w:p>
        </w:tc>
        <w:tc>
          <w:tcPr/>
          <w:p>
            <w:pPr>
              <w:pStyle w:val="Compact"/>
            </w:pPr>
            <w:r>
              <w:t xml:space="preserve">.021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.001</w:t>
            </w:r>
          </w:p>
        </w:tc>
      </w:tr>
      <w:tr>
        <w:tc>
          <w:tcPr/>
          <w:p>
            <w:pPr>
              <w:pStyle w:val="Compact"/>
            </w:pPr>
            <w:r>
              <w:t xml:space="preserve">HHI, ages 13–14 (z)</w:t>
            </w:r>
          </w:p>
        </w:tc>
        <w:tc>
          <w:tcPr/>
          <w:p>
            <w:pPr>
              <w:pStyle w:val="Compact"/>
            </w:pPr>
            <w:r>
              <w:t xml:space="preserve">0.98</w:t>
            </w:r>
          </w:p>
        </w:tc>
        <w:tc>
          <w:tcPr/>
          <w:p>
            <w:pPr>
              <w:pStyle w:val="Compact"/>
            </w:pPr>
            <w:r>
              <w:t xml:space="preserve">[0.92, 1.05]</w:t>
            </w:r>
          </w:p>
        </w:tc>
        <w:tc>
          <w:tcPr/>
          <w:p>
            <w:pPr>
              <w:pStyle w:val="Compact"/>
            </w:pPr>
            <w:r>
              <w:t xml:space="preserve">.583</w:t>
            </w:r>
          </w:p>
        </w:tc>
      </w:tr>
      <w:tr>
        <w:tc>
          <w:tcPr/>
          <w:p>
            <w:pPr>
              <w:pStyle w:val="Compact"/>
            </w:pPr>
            <w:r>
              <w:t xml:space="preserve">Volume at age 15–16 (z)</w:t>
            </w:r>
          </w:p>
        </w:tc>
        <w:tc>
          <w:tcPr/>
          <w:p>
            <w:pPr>
              <w:pStyle w:val="Compact"/>
            </w:pPr>
            <w:r>
              <w:t xml:space="preserve">0.45</w:t>
            </w:r>
          </w:p>
        </w:tc>
        <w:tc>
          <w:tcPr/>
          <w:p>
            <w:pPr>
              <w:pStyle w:val="Compact"/>
            </w:pPr>
            <w:r>
              <w:t xml:space="preserve">[0.41, 0.51]</w:t>
            </w:r>
          </w:p>
        </w:tc>
        <w:tc>
          <w:tcPr/>
          <w:p>
            <w:pPr>
              <w:pStyle w:val="Compact"/>
            </w:pPr>
            <w:r>
              <w:t xml:space="preserve">&lt; .001</w:t>
            </w:r>
          </w:p>
        </w:tc>
      </w:tr>
      <w:tr>
        <w:tc>
          <w:tcPr/>
          <w:p>
            <w:pPr>
              <w:pStyle w:val="Compact"/>
            </w:pPr>
            <w:r>
              <w:t xml:space="preserve">Championship types</w:t>
            </w:r>
          </w:p>
        </w:tc>
        <w:tc>
          <w:tcPr/>
          <w:p>
            <w:pPr>
              <w:pStyle w:val="Compact"/>
            </w:pPr>
            <w:r>
              <w:t xml:space="preserve">0.75</w:t>
            </w:r>
          </w:p>
        </w:tc>
        <w:tc>
          <w:tcPr/>
          <w:p>
            <w:pPr>
              <w:pStyle w:val="Compact"/>
            </w:pPr>
            <w: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 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t xml:space="preserve">OR 2.04 [1.80, 2.32]</w:t>
            </w:r>
          </w:p>
        </w:tc>
        <w:tc>
          <w:tcPr/>
          <w:p>
            <w:pPr>
              <w:pStyle w:val="Compact"/>
            </w:pPr>
            <w:r>
              <w:t xml:space="preserve">1.43</w:t>
            </w:r>
          </w:p>
        </w:tc>
        <w:tc>
          <w:tcPr/>
          <w:p>
            <w:pPr>
              <w:pStyle w:val="Compact"/>
            </w:pPr>
            <w:r>
              <w:t xml:space="preserve">2.21</w:t>
            </w:r>
          </w:p>
        </w:tc>
        <w:tc>
          <w:tcPr/>
          <w:p>
            <w:pPr>
              <w:pStyle w:val="Compact"/>
            </w:pPr>
            <w:r>
              <w:t xml:space="preserve">2.02</w:t>
            </w:r>
          </w:p>
        </w:tc>
      </w:tr>
      <w:tr>
        <w:tc>
          <w:tcPr/>
          <w:p>
            <w:pPr>
              <w:pStyle w:val="Compact"/>
            </w:pPr>
            <w:r>
              <w:t xml:space="preserve">Pre-milestone volume, baseline-only Cox from the end of age 14 (per SD)</w:t>
            </w:r>
          </w:p>
        </w:tc>
        <w:tc>
          <w:tcPr/>
          <w:p>
            <w:pPr>
              <w:pStyle w:val="Compact"/>
            </w:pPr>
            <w:r>
              <w:t xml:space="preserve">HR 0.65 [0.62, 0.69]</w:t>
            </w:r>
          </w:p>
        </w:tc>
        <w:tc>
          <w:tcPr/>
          <w:p>
            <w:pPr>
              <w:pStyle w:val="Compact"/>
            </w:pPr>
            <w:r>
              <w:t xml:space="preserve">1.34</w:t>
            </w:r>
          </w:p>
        </w:tc>
        <w:tc>
          <w:tcPr/>
          <w:p>
            <w:pPr>
              <w:pStyle w:val="Compact"/>
            </w:pPr>
            <w:r>
              <w:t xml:space="preserve">2.02</w:t>
            </w:r>
          </w:p>
        </w:tc>
        <w:tc>
          <w:tcPr/>
          <w:p>
            <w:pPr>
              <w:pStyle w:val="Compact"/>
            </w:pPr>
            <w:r>
              <w:t xml:space="preserve">1.90</w:t>
            </w:r>
          </w:p>
        </w:tc>
      </w:tr>
    </w:tbl>
    <w:p>
      <w:pPr>
        <w:pStyle w:val="BodyText"/>
      </w:pPr>
      <w:r>
        <w:rPr>
          <w:i/>
          <w:iCs/>
        </w:rPr>
        <w:t xml:space="preserve">Note.</w:t>
      </w:r>
      <w:r>
        <w:t xml:space="preserve"> </w:t>
      </w:r>
      <w:r>
        <w:t xml:space="preserve">Because the outcome is common (16.3%), the odds ratio is converted to an approximate risk ratio (RR ≈ √OR) before computing E = RR + √(RR(RR − 1)); the hazard ratio uses the common-outcome conversion RR ≈ (1 − 0.5^√HR)/(1 − 0.5^√(1/HR)), inverted because the association is protective (Supplementary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 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t xml:space="preserve">n (logistic)</w:t>
            </w:r>
          </w:p>
        </w:tc>
        <w:tc>
          <w:tcPr/>
          <w:p>
            <w:pPr>
              <w:pStyle w:val="Compact"/>
            </w:pPr>
            <w:r>
              <w:t xml:space="preserve">Retainers</w:t>
            </w:r>
          </w:p>
        </w:tc>
        <w:tc>
          <w:tcPr/>
          <w:p>
            <w:pPr>
              <w:pStyle w:val="Compact"/>
            </w:pPr>
            <w:r>
              <w:t xml:space="preserve">Min. detectable OR</w:t>
            </w:r>
          </w:p>
        </w:tc>
      </w:tr>
      <w:tr>
        <w:tc>
          <w:tcPr/>
          <w:p>
            <w:pPr>
              <w:pStyle w:val="Compact"/>
            </w:pPr>
            <w:r>
              <w:t xml:space="preserve">Combined</w:t>
            </w:r>
          </w:p>
        </w:tc>
        <w:tc>
          <w:tcPr/>
          <w:p>
            <w:pPr>
              <w:pStyle w:val="Compact"/>
            </w:pPr>
            <w:r>
              <w:t xml:space="preserve">1,908</w:t>
            </w:r>
          </w:p>
        </w:tc>
        <w:tc>
          <w:tcPr/>
          <w:p>
            <w:pPr>
              <w:pStyle w:val="Compact"/>
            </w:pPr>
            <w:r>
              <w:t xml:space="preserve">1,747</w:t>
            </w:r>
          </w:p>
        </w:tc>
        <w:tc>
          <w:tcPr/>
          <w:p>
            <w:pPr>
              <w:pStyle w:val="Compact"/>
            </w:pPr>
            <w:r>
              <w:t xml:space="preserve">1.069</w:t>
            </w:r>
          </w:p>
        </w:tc>
        <w:tc>
          <w:tcPr/>
          <w:p>
            <w:pPr>
              <w:pStyle w:val="Compact"/>
            </w:pPr>
            <w:r>
              <w:t xml:space="preserve">2,136</w:t>
            </w:r>
          </w:p>
        </w:tc>
        <w:tc>
          <w:tcPr/>
          <w:p>
            <w:pPr>
              <w:pStyle w:val="Compact"/>
            </w:pPr>
            <w:r>
              <w:t xml:space="preserve">347</w:t>
            </w:r>
          </w:p>
        </w:tc>
        <w:tc>
          <w:tcPr/>
          <w:p>
            <w:pPr>
              <w:pStyle w:val="Compact"/>
            </w:pPr>
            <w:r>
              <w:t xml:space="preserve">1.179</w:t>
            </w:r>
          </w:p>
        </w:tc>
      </w:tr>
      <w:tr>
        <w:tc>
          <w:tcPr/>
          <w:p>
            <w:pPr>
              <w:pStyle w:val="Compact"/>
            </w:pPr>
            <w:r>
              <w:t xml:space="preserve">1998–2000</w:t>
            </w:r>
          </w:p>
        </w:tc>
        <w:tc>
          <w:tcPr/>
          <w:p>
            <w:pPr>
              <w:pStyle w:val="Compact"/>
            </w:pPr>
            <w:r>
              <w:t xml:space="preserve">1,169</w:t>
            </w:r>
          </w:p>
        </w:tc>
        <w:tc>
          <w:tcPr/>
          <w:p>
            <w:pPr>
              <w:pStyle w:val="Compact"/>
            </w:pPr>
            <w:r>
              <w:t xml:space="preserve">1,094</w:t>
            </w:r>
          </w:p>
        </w:tc>
        <w:tc>
          <w:tcPr/>
          <w:p>
            <w:pPr>
              <w:pStyle w:val="Compact"/>
            </w:pPr>
            <w:r>
              <w:t xml:space="preserve">1.088</w:t>
            </w:r>
          </w:p>
        </w:tc>
        <w:tc>
          <w:tcPr/>
          <w:p>
            <w:pPr>
              <w:pStyle w:val="Compact"/>
            </w:pPr>
            <w:r>
              <w:t xml:space="preserve">1,308</w:t>
            </w:r>
          </w:p>
        </w:tc>
        <w:tc>
          <w:tcPr/>
          <w:p>
            <w:pPr>
              <w:pStyle w:val="Compact"/>
            </w:pPr>
            <w:r>
              <w:t xml:space="preserve">207</w:t>
            </w:r>
          </w:p>
        </w:tc>
        <w:tc>
          <w:tcPr/>
          <w:p>
            <w:pPr>
              <w:pStyle w:val="Compact"/>
            </w:pPr>
            <w:r>
              <w:t xml:space="preserve">1.236</w:t>
            </w:r>
          </w:p>
        </w:tc>
      </w:tr>
      <w:tr>
        <w:tc>
          <w:tcPr/>
          <w:p>
            <w:pPr>
              <w:pStyle w:val="Compact"/>
            </w:pPr>
            <w:r>
              <w:t xml:space="preserve">2001–2002</w:t>
            </w:r>
          </w:p>
        </w:tc>
        <w:tc>
          <w:tcPr/>
          <w:p>
            <w:pPr>
              <w:pStyle w:val="Compact"/>
            </w:pPr>
            <w:r>
              <w:t xml:space="preserve">739</w:t>
            </w:r>
          </w:p>
        </w:tc>
        <w:tc>
          <w:tcPr/>
          <w:p>
            <w:pPr>
              <w:pStyle w:val="Compact"/>
            </w:pPr>
            <w:r>
              <w:t xml:space="preserve">653</w:t>
            </w:r>
          </w:p>
        </w:tc>
        <w:tc>
          <w:tcPr/>
          <w:p>
            <w:pPr>
              <w:pStyle w:val="Compact"/>
            </w:pPr>
            <w:r>
              <w:t xml:space="preserve">1.116</w:t>
            </w:r>
          </w:p>
        </w:tc>
        <w:tc>
          <w:tcPr/>
          <w:p>
            <w:pPr>
              <w:pStyle w:val="Compact"/>
            </w:pPr>
            <w:r>
              <w:t xml:space="preserve">828</w:t>
            </w:r>
          </w:p>
        </w:tc>
        <w:tc>
          <w:tcPr/>
          <w:p>
            <w:pPr>
              <w:pStyle w:val="Compact"/>
            </w:pPr>
            <w:r>
              <w:t xml:space="preserve">140</w:t>
            </w:r>
          </w:p>
        </w:tc>
        <w:tc>
          <w:tcPr/>
          <w:p>
            <w:pPr>
              <w:pStyle w:val="Compact"/>
            </w:pPr>
            <w:r>
              <w:t xml:space="preserve">1.297</w:t>
            </w:r>
          </w:p>
        </w:tc>
      </w:tr>
    </w:tbl>
    <w:p>
      <w:pPr>
        <w:pStyle w:val="BodyText"/>
      </w:pPr>
      <w:r>
        <w:rPr>
          <w:i/>
          <w:iCs/>
        </w:rPr>
        <w:t xml:space="preserve">Note.</w:t>
      </w:r>
      <w:r>
        <w:t xml:space="preserve"> </w:t>
      </w:r>
      <w: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t xml:space="preserve">1.15</w:t>
            </w:r>
          </w:p>
        </w:tc>
        <w:tc>
          <w:tcPr/>
          <w:p>
            <w:pPr>
              <w:pStyle w:val="Compact"/>
            </w:pPr>
            <w:r>
              <w:t xml:space="preserve">1.15</w:t>
            </w:r>
          </w:p>
        </w:tc>
      </w:tr>
      <w:tr>
        <w:tc>
          <w:tcPr/>
          <w:p>
            <w:pPr>
              <w:pStyle w:val="Compact"/>
            </w:pPr>
            <w:r>
              <w:t xml:space="preserve">Tyrving (z)</w:t>
            </w:r>
          </w:p>
        </w:tc>
        <w:tc>
          <w:tcPr/>
          <w:p>
            <w:pPr>
              <w:pStyle w:val="Compact"/>
            </w:pPr>
            <w:r>
              <w:t xml:space="preserve">0.91</w:t>
            </w:r>
          </w:p>
        </w:tc>
        <w:tc>
          <w:tcPr/>
          <w:p>
            <w:pPr>
              <w:pStyle w:val="Compact"/>
            </w:pPr>
            <w:r>
              <w:t xml:space="preserve">0.91</w:t>
            </w:r>
          </w:p>
        </w:tc>
      </w:tr>
      <w:tr>
        <w:tc>
          <w:tcPr/>
          <w:p>
            <w:pPr>
              <w:pStyle w:val="Compact"/>
            </w:pPr>
            <w:r>
              <w:t xml:space="preserve">HHI, ages 13–14 (z)</w:t>
            </w:r>
          </w:p>
        </w:tc>
        <w:tc>
          <w:tcPr/>
          <w:p>
            <w:pPr>
              <w:pStyle w:val="Compact"/>
            </w:pPr>
            <w:r>
              <w:t xml:space="preserve">0.98</w:t>
            </w:r>
          </w:p>
        </w:tc>
        <w:tc>
          <w:tcPr/>
          <w:p>
            <w:pPr>
              <w:pStyle w:val="Compact"/>
            </w:pPr>
            <w:r>
              <w:t xml:space="preserve">0.98</w:t>
            </w:r>
          </w:p>
        </w:tc>
      </w:tr>
      <w:tr>
        <w:tc>
          <w:tcPr/>
          <w:p>
            <w:pPr>
              <w:pStyle w:val="Compact"/>
            </w:pPr>
            <w:r>
              <w:t xml:space="preserve">Volume at age 15–16 (z)</w:t>
            </w:r>
          </w:p>
        </w:tc>
        <w:tc>
          <w:tcPr/>
          <w:p>
            <w:pPr>
              <w:pStyle w:val="Compact"/>
            </w:pPr>
            <w:r>
              <w:t xml:space="preserve">0.45</w:t>
            </w:r>
          </w:p>
        </w:tc>
        <w:tc>
          <w:tcPr/>
          <w:p>
            <w:pPr>
              <w:pStyle w:val="Compact"/>
            </w:pPr>
            <w:r>
              <w:t xml:space="preserve">0.45</w:t>
            </w:r>
          </w:p>
        </w:tc>
      </w:tr>
      <w:tr>
        <w:tc>
          <w:tcPr/>
          <w:p>
            <w:pPr>
              <w:pStyle w:val="Compact"/>
            </w:pPr>
            <w:r>
              <w:t xml:space="preserve">Championship types</w:t>
            </w:r>
          </w:p>
        </w:tc>
        <w:tc>
          <w:tcPr/>
          <w:p>
            <w:pPr>
              <w:pStyle w:val="Compact"/>
            </w:pPr>
            <w:r>
              <w:t xml:space="preserve">0.75</w:t>
            </w:r>
          </w:p>
        </w:tc>
        <w:tc>
          <w:tcPr/>
          <w:p>
            <w:pPr>
              <w:pStyle w:val="Compact"/>
            </w:pPr>
            <w:r>
              <w:t xml:space="preserve">0.75</w:t>
            </w:r>
          </w:p>
        </w:tc>
      </w:tr>
      <w:tr>
        <w:tc>
          <w:tcPr/>
          <w:p>
            <w:pPr>
              <w:pStyle w:val="Compact"/>
            </w:pPr>
            <w:r>
              <w:t xml:space="preserve">n</w:t>
            </w:r>
          </w:p>
        </w:tc>
        <w:tc>
          <w:tcPr/>
          <w:p>
            <w:pPr>
              <w:pStyle w:val="Compact"/>
            </w:pPr>
            <w:r>
              <w:t xml:space="preserve">2,136</w:t>
            </w:r>
          </w:p>
        </w:tc>
        <w:tc>
          <w:tcPr/>
          <w:p>
            <w:pPr>
              <w:pStyle w:val="Compact"/>
            </w:pPr>
            <w: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 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t xml:space="preserve">1.15</w:t>
            </w:r>
          </w:p>
        </w:tc>
        <w:tc>
          <w:tcPr/>
          <w:p>
            <w:pPr>
              <w:pStyle w:val="Compact"/>
            </w:pPr>
            <w:r>
              <w:t xml:space="preserve">.003</w:t>
            </w:r>
          </w:p>
        </w:tc>
      </w:tr>
      <w:tr>
        <w:tc>
          <w:tcPr/>
          <w:p>
            <w:pPr>
              <w:pStyle w:val="Compact"/>
            </w:pPr>
            <w:r>
              <w:t xml:space="preserve">Tyrving (z)</w:t>
            </w:r>
          </w:p>
        </w:tc>
        <w:tc>
          <w:tcPr/>
          <w:p>
            <w:pPr>
              <w:pStyle w:val="Compact"/>
            </w:pPr>
            <w:r>
              <w:t xml:space="preserve">0.91</w:t>
            </w:r>
          </w:p>
        </w:tc>
        <w:tc>
          <w:tcPr/>
          <w:p>
            <w:pPr>
              <w:pStyle w:val="Compact"/>
            </w:pPr>
            <w: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t xml:space="preserve">0.76</w:t>
            </w:r>
          </w:p>
        </w:tc>
        <w:tc>
          <w:tcPr/>
          <w:p>
            <w:pPr>
              <w:pStyle w:val="Compact"/>
            </w:pPr>
            <w:r>
              <w:t xml:space="preserve">&lt; .001</w:t>
            </w:r>
          </w:p>
        </w:tc>
      </w:tr>
    </w:tbl>
    <w:p>
      <w:pPr>
        <w:pStyle w:val="BodyText"/>
      </w:pPr>
      <w:r>
        <w:rPr>
          <w:i/>
          <w:iCs/>
        </w:rPr>
        <w:t xml:space="preserve">Note.</w:t>
      </w:r>
      <w:r>
        <w:t xml:space="preserve"> </w:t>
      </w:r>
      <w: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t xml:space="preserve">1,006</w:t>
            </w:r>
          </w:p>
        </w:tc>
        <w:tc>
          <w:tcPr/>
          <w:p>
            <w:pPr>
              <w:pStyle w:val="Compact"/>
            </w:pPr>
            <w:r>
              <w:t xml:space="preserve">Tyrving (z)</w:t>
            </w:r>
          </w:p>
        </w:tc>
        <w:tc>
          <w:tcPr/>
          <w:p>
            <w:pPr>
              <w:pStyle w:val="Compact"/>
            </w:pPr>
            <w:r>
              <w:t xml:space="preserve">0.97</w:t>
            </w:r>
          </w:p>
        </w:tc>
        <w:tc>
          <w:tcPr/>
          <w:p>
            <w:pPr>
              <w:pStyle w:val="Compact"/>
            </w:pPr>
            <w:r>
              <w:t xml:space="preserve">[0.91, 1.03]</w:t>
            </w:r>
          </w:p>
        </w:tc>
        <w:tc>
          <w:tcPr/>
          <w:p>
            <w:pPr>
              <w:pStyle w:val="Compact"/>
            </w:pPr>
            <w:r>
              <w:t xml:space="preserve">.260</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0.98</w:t>
            </w:r>
          </w:p>
        </w:tc>
        <w:tc>
          <w:tcPr/>
          <w:p>
            <w:pPr>
              <w:pStyle w:val="Compact"/>
            </w:pPr>
            <w:r>
              <w:t xml:space="preserve">[0.92, 1.04]</w:t>
            </w:r>
          </w:p>
        </w:tc>
        <w:tc>
          <w:tcPr/>
          <w:p>
            <w:pPr>
              <w:pStyle w:val="Compact"/>
            </w:pPr>
            <w: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0.46</w:t>
            </w:r>
          </w:p>
        </w:tc>
        <w:tc>
          <w:tcPr/>
          <w:p>
            <w:pPr>
              <w:pStyle w:val="Compact"/>
            </w:pPr>
            <w: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0.64</w:t>
            </w:r>
          </w:p>
        </w:tc>
        <w:tc>
          <w:tcPr/>
          <w:p>
            <w:pPr>
              <w:pStyle w:val="Compact"/>
            </w:pPr>
            <w:r>
              <w:t xml:space="preserve">[0.58, 0.71]</w:t>
            </w:r>
          </w:p>
        </w:tc>
        <w:tc>
          <w:tcPr/>
          <w:p>
            <w:pPr>
              <w:pStyle w:val="Compact"/>
            </w:pPr>
            <w:r>
              <w:t xml:space="preserve">&lt; .001</w:t>
            </w:r>
          </w:p>
        </w:tc>
      </w:tr>
      <w:tr>
        <w:tc>
          <w:tcPr/>
          <w:p>
            <w:pPr>
              <w:pStyle w:val="Compact"/>
            </w:pPr>
            <w:r>
              <w:t xml:space="preserve">Female</w:t>
            </w:r>
          </w:p>
        </w:tc>
        <w:tc>
          <w:tcPr/>
          <w:p>
            <w:pPr>
              <w:pStyle w:val="Compact"/>
            </w:pPr>
            <w:r>
              <w:t xml:space="preserve">1,130</w:t>
            </w:r>
          </w:p>
        </w:tc>
        <w:tc>
          <w:tcPr/>
          <w:p>
            <w:pPr>
              <w:pStyle w:val="Compact"/>
            </w:pPr>
            <w:r>
              <w:t xml:space="preserve">Tyrving (z)</w:t>
            </w:r>
          </w:p>
        </w:tc>
        <w:tc>
          <w:tcPr/>
          <w:p>
            <w:pPr>
              <w:pStyle w:val="Compact"/>
            </w:pPr>
            <w:r>
              <w:t xml:space="preserve">0.83</w:t>
            </w:r>
          </w:p>
        </w:tc>
        <w:tc>
          <w:tcPr/>
          <w:p>
            <w:pPr>
              <w:pStyle w:val="Compact"/>
            </w:pPr>
            <w:r>
              <w:t xml:space="preserve">[0.78, 0.89]</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0.99</w:t>
            </w:r>
          </w:p>
        </w:tc>
        <w:tc>
          <w:tcPr/>
          <w:p>
            <w:pPr>
              <w:pStyle w:val="Compact"/>
            </w:pPr>
            <w:r>
              <w:t xml:space="preserve">[0.93, 1.05]</w:t>
            </w:r>
          </w:p>
        </w:tc>
        <w:tc>
          <w:tcPr/>
          <w:p>
            <w:pPr>
              <w:pStyle w:val="Compact"/>
            </w:pPr>
            <w: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t xml:space="preserve">0.85</w:t>
            </w:r>
          </w:p>
        </w:tc>
        <w:tc>
          <w:tcPr/>
          <w:p>
            <w:pPr>
              <w:pStyle w:val="Compact"/>
            </w:pPr>
            <w: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 0.849 (male) and 0.846 (female). The dominant behavioral covariate is near-identical across sexes (volume HR 0.46 vs 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 1,148)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1.24</w:t>
            </w:r>
          </w:p>
        </w:tc>
        <w:tc>
          <w:tcPr/>
          <w:p>
            <w:pPr>
              <w:pStyle w:val="Compact"/>
            </w:pPr>
            <w:r>
              <w:t xml:space="preserve">[1.09, 1.41]</w:t>
            </w:r>
          </w:p>
        </w:tc>
        <w:tc>
          <w:tcPr/>
          <w:p>
            <w:pPr>
              <w:pStyle w:val="Compact"/>
            </w:pPr>
            <w:r>
              <w:t xml:space="preserve">&lt; .001</w:t>
            </w:r>
          </w:p>
        </w:tc>
      </w:tr>
      <w:tr>
        <w:tc>
          <w:tcPr/>
          <w:p>
            <w:pPr>
              <w:pStyle w:val="Compact"/>
            </w:pPr>
            <w:r>
              <w:t xml:space="preserve">Tyrving (z)</w:t>
            </w:r>
          </w:p>
        </w:tc>
        <w:tc>
          <w:tcPr/>
          <w:p>
            <w:pPr>
              <w:pStyle w:val="Compact"/>
            </w:pPr>
            <w:r>
              <w:t xml:space="preserve">0.89</w:t>
            </w:r>
          </w:p>
        </w:tc>
        <w:tc>
          <w:tcPr/>
          <w:p>
            <w:pPr>
              <w:pStyle w:val="Compact"/>
            </w:pPr>
            <w:r>
              <w:t xml:space="preserve">[0.83, 0.96]</w:t>
            </w:r>
          </w:p>
        </w:tc>
        <w:tc>
          <w:tcPr/>
          <w:p>
            <w:pPr>
              <w:pStyle w:val="Compact"/>
            </w:pPr>
            <w:r>
              <w:t xml:space="preserve">.002</w:t>
            </w:r>
          </w:p>
        </w:tc>
      </w:tr>
      <w:tr>
        <w:tc>
          <w:tcPr/>
          <w:p>
            <w:pPr>
              <w:pStyle w:val="Compact"/>
            </w:pPr>
            <w:r>
              <w:t xml:space="preserve">HHI, ages 13–14 (z)</w:t>
            </w:r>
          </w:p>
        </w:tc>
        <w:tc>
          <w:tcPr/>
          <w:p>
            <w:pPr>
              <w:pStyle w:val="Compact"/>
            </w:pPr>
            <w:r>
              <w:t xml:space="preserve">0.91</w:t>
            </w:r>
          </w:p>
        </w:tc>
        <w:tc>
          <w:tcPr/>
          <w:p>
            <w:pPr>
              <w:pStyle w:val="Compact"/>
            </w:pPr>
            <w:r>
              <w:t xml:space="preserve">[0.85, 0.97]</w:t>
            </w:r>
          </w:p>
        </w:tc>
        <w:tc>
          <w:tcPr/>
          <w:p>
            <w:pPr>
              <w:pStyle w:val="Compact"/>
            </w:pPr>
            <w:r>
              <w:t xml:space="preserve">.004</w:t>
            </w:r>
          </w:p>
        </w:tc>
      </w:tr>
      <w:tr>
        <w:tc>
          <w:tcPr/>
          <w:p>
            <w:pPr>
              <w:pStyle w:val="Compact"/>
            </w:pPr>
            <w:r>
              <w:rPr>
                <w:b/>
                <w:bCs/>
              </w:rPr>
              <w:t xml:space="preserve">Volume at age 15–16 (z)</w:t>
            </w:r>
          </w:p>
        </w:tc>
        <w:tc>
          <w:tcPr/>
          <w:p>
            <w:pPr>
              <w:pStyle w:val="Compact"/>
            </w:pPr>
            <w:r>
              <w:t xml:space="preserve">0.68</w:t>
            </w:r>
          </w:p>
        </w:tc>
        <w:tc>
          <w:tcPr/>
          <w:p>
            <w:pPr>
              <w:pStyle w:val="Compact"/>
            </w:pPr>
            <w:r>
              <w:t xml:space="preserve">[0.62, 0.74]</w:t>
            </w:r>
          </w:p>
        </w:tc>
        <w:tc>
          <w:tcPr/>
          <w:p>
            <w:pPr>
              <w:pStyle w:val="Compact"/>
            </w:pPr>
            <w:r>
              <w:t xml:space="preserve">&lt; .001</w:t>
            </w:r>
          </w:p>
        </w:tc>
      </w:tr>
      <w:tr>
        <w:tc>
          <w:tcPr/>
          <w:p>
            <w:pPr>
              <w:pStyle w:val="Compact"/>
            </w:pPr>
            <w:r>
              <w:t xml:space="preserve">Championship types</w:t>
            </w:r>
          </w:p>
        </w:tc>
        <w:tc>
          <w:tcPr/>
          <w:p>
            <w:pPr>
              <w:pStyle w:val="Compact"/>
            </w:pPr>
            <w:r>
              <w:t xml:space="preserve">0.87</w:t>
            </w:r>
          </w:p>
        </w:tc>
        <w:tc>
          <w:tcPr/>
          <w:p>
            <w:pPr>
              <w:pStyle w:val="Compact"/>
            </w:pPr>
            <w:r>
              <w:t xml:space="preserve">[0.79, 0.96]</w:t>
            </w:r>
          </w:p>
        </w:tc>
        <w:tc>
          <w:tcPr/>
          <w:p>
            <w:pPr>
              <w:pStyle w:val="Compact"/>
            </w:pPr>
            <w:r>
              <w:t xml:space="preserve">.005</w:t>
            </w:r>
          </w:p>
        </w:tc>
      </w:tr>
      <w:tr>
        <w:tc>
          <w:tcPr/>
          <w:p>
            <w:pPr>
              <w:pStyle w:val="Compact"/>
            </w:pPr>
            <w:r>
              <w:t xml:space="preserve">n complete</w:t>
            </w:r>
          </w:p>
        </w:tc>
        <w:tc>
          <w:tcPr/>
          <w:p>
            <w:pPr>
              <w:pStyle w:val="Compact"/>
            </w:pPr>
            <w:r>
              <w:t xml:space="preserve">1,147</w:t>
            </w:r>
          </w:p>
        </w:tc>
        <w:tc>
          <w:tcPr/>
          <w:p>
            <w:pPr>
              <w:pStyle w:val="Compact"/>
            </w:pPr>
          </w:p>
        </w:tc>
        <w:tc>
          <w:tcPr/>
          <w:p>
            <w:pPr>
              <w:pStyle w:val="Compact"/>
            </w:pPr>
          </w:p>
        </w:tc>
      </w:tr>
      <w:tr>
        <w:tc>
          <w:tcPr/>
          <w:p>
            <w:pPr>
              <w:pStyle w:val="Compact"/>
            </w:pPr>
            <w:r>
              <w:t xml:space="preserve">C-index</w:t>
            </w:r>
          </w:p>
        </w:tc>
        <w:tc>
          <w:tcPr/>
          <w:p>
            <w:pPr>
              <w:pStyle w:val="Compact"/>
            </w:pPr>
            <w: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 still in their career at age 16 (final active season at 16 or later), with follow-up time measured from age 16 forward (986 events). The earlier entry rule (≥1 result at 16) also admitted 71 athletes whose final active season was earlier, so that their event preceded time zero. The 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t xml:space="preserve">412 (19.3%)</w:t>
            </w:r>
          </w:p>
        </w:tc>
        <w:tc>
          <w:tcPr/>
          <w:p>
            <w:pPr>
              <w:pStyle w:val="Compact"/>
            </w:pPr>
            <w:r>
              <w:t xml:space="preserve">1.95</w:t>
            </w:r>
          </w:p>
        </w:tc>
        <w:tc>
          <w:tcPr/>
          <w:p>
            <w:pPr>
              <w:pStyle w:val="Compact"/>
            </w:pPr>
            <w:r>
              <w:t xml:space="preserve">[1.73, 2.20]</w:t>
            </w:r>
          </w:p>
        </w:tc>
        <w:tc>
          <w:tcPr/>
          <w:p>
            <w:pPr>
              <w:pStyle w:val="Compact"/>
            </w:pPr>
            <w: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t xml:space="preserve">348 (16.3%)</w:t>
            </w:r>
          </w:p>
        </w:tc>
        <w:tc>
          <w:tcPr/>
          <w:p>
            <w:pPr>
              <w:pStyle w:val="Compact"/>
            </w:pPr>
            <w:r>
              <w:t xml:space="preserve">2.04</w:t>
            </w:r>
          </w:p>
        </w:tc>
        <w:tc>
          <w:tcPr/>
          <w:p>
            <w:pPr>
              <w:pStyle w:val="Compact"/>
            </w:pPr>
            <w:r>
              <w:t xml:space="preserve">[1.80, 2.32]</w:t>
            </w:r>
          </w:p>
        </w:tc>
        <w:tc>
          <w:tcPr/>
          <w:p>
            <w:pPr>
              <w:pStyle w:val="Compact"/>
            </w:pPr>
            <w: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t xml:space="preserve">255 (11.9%)</w:t>
            </w:r>
          </w:p>
        </w:tc>
        <w:tc>
          <w:tcPr/>
          <w:p>
            <w:pPr>
              <w:pStyle w:val="Compact"/>
            </w:pPr>
            <w:r>
              <w:t xml:space="preserve">1.87</w:t>
            </w:r>
          </w:p>
        </w:tc>
        <w:tc>
          <w:tcPr/>
          <w:p>
            <w:pPr>
              <w:pStyle w:val="Compact"/>
            </w:pPr>
            <w:r>
              <w:t xml:space="preserve">[1.64, 2.14]</w:t>
            </w:r>
          </w:p>
        </w:tc>
        <w:tc>
          <w:tcPr/>
          <w:p>
            <w:pPr>
              <w:pStyle w:val="Compact"/>
            </w:pPr>
            <w:r>
              <w:t xml:space="preserve">0.767</w:t>
            </w:r>
          </w:p>
        </w:tc>
      </w:tr>
    </w:tbl>
    <w:p>
      <w:pPr>
        <w:pStyle w:val="BodyText"/>
      </w:pPr>
      <w:r>
        <w:rPr>
          <w:i/>
          <w:iCs/>
        </w:rPr>
        <w:t xml:space="preserve">Note.</w:t>
      </w:r>
      <w:r>
        <w:t xml:space="preserve"> </w:t>
      </w:r>
      <w:r>
        <w:t xml:space="preserve">All three rows re-estimate the primary L4 model (sex, Tyrving, HHI, pre-milestone volume; n = 2,136) with the alternative outcome definitions. The volume effect is stable across definitions. 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1.21</w:t>
            </w:r>
          </w:p>
        </w:tc>
        <w:tc>
          <w:tcPr/>
          <w:p>
            <w:pPr>
              <w:pStyle w:val="Compact"/>
            </w:pPr>
            <w:r>
              <w:t xml:space="preserve">[1.10, 1.34]</w:t>
            </w:r>
          </w:p>
        </w:tc>
        <w:tc>
          <w:tcPr/>
          <w:p>
            <w:pPr>
              <w:pStyle w:val="Compact"/>
            </w:pPr>
            <w:r>
              <w:t xml:space="preserve">&lt; .001</w:t>
            </w:r>
          </w:p>
        </w:tc>
      </w:tr>
      <w:tr>
        <w:tc>
          <w:tcPr/>
          <w:p>
            <w:pPr>
              <w:pStyle w:val="Compact"/>
            </w:pPr>
            <w:r>
              <w:t xml:space="preserve">Tyrving (z)</w:t>
            </w:r>
          </w:p>
        </w:tc>
        <w:tc>
          <w:tcPr/>
          <w:p>
            <w:pPr>
              <w:pStyle w:val="Compact"/>
            </w:pPr>
            <w:r>
              <w:t xml:space="preserve">0.82</w:t>
            </w:r>
          </w:p>
        </w:tc>
        <w:tc>
          <w:tcPr/>
          <w:p>
            <w:pPr>
              <w:pStyle w:val="Compact"/>
            </w:pPr>
            <w:r>
              <w:t xml:space="preserve">[0.79, 0.86]</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[0.62, 0.69]</w:t>
            </w:r>
          </w:p>
        </w:tc>
        <w:tc>
          <w:tcPr/>
          <w:p>
            <w:pPr>
              <w:pStyle w:val="Compact"/>
            </w:pPr>
            <w:r>
              <w:t xml:space="preserve">&lt; .001</w:t>
            </w:r>
          </w:p>
        </w:tc>
      </w:tr>
    </w:tbl>
    <w:p>
      <w:pPr>
        <w:pStyle w:val="BodyText"/>
      </w:pPr>
      <w:r>
        <w:rPr>
          <w:i/>
          <w:iCs/>
        </w:rPr>
        <w:t xml:space="preserve">Note.</w:t>
      </w:r>
      <w:r>
        <w:t xml:space="preserve"> </w:t>
      </w:r>
      <w:r>
        <w:t xml:space="preserve">n = 1,908 (1,747 events); C-index = 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[1.10, 1.36]</w:t>
            </w:r>
          </w:p>
        </w:tc>
        <w:tc>
          <w:tcPr/>
          <w:p>
            <w:pPr>
              <w:pStyle w:val="Compact"/>
            </w:pPr>
            <w:r>
              <w:t xml:space="preserve">&lt; .001</w:t>
            </w:r>
          </w:p>
        </w:tc>
      </w:tr>
      <w:tr>
        <w:tc>
          <w:tcPr/>
          <w:p>
            <w:pPr>
              <w:pStyle w:val="Compact"/>
            </w:pPr>
            <w:r>
              <w:t xml:space="preserve">Tyrving (z)</w:t>
            </w:r>
          </w:p>
        </w:tc>
        <w:tc>
          <w:tcPr/>
          <w:p>
            <w:pPr>
              <w:pStyle w:val="Compact"/>
            </w:pPr>
            <w:r>
              <w:t xml:space="preserve">0.91</w:t>
            </w:r>
          </w:p>
        </w:tc>
        <w:tc>
          <w:tcPr/>
          <w:p>
            <w:pPr>
              <w:pStyle w:val="Compact"/>
            </w:pPr>
            <w:r>
              <w:t xml:space="preserve">[0.86, 0.96]</w:t>
            </w:r>
          </w:p>
        </w:tc>
        <w:tc>
          <w:tcPr/>
          <w:p>
            <w:pPr>
              <w:pStyle w:val="Compact"/>
            </w:pPr>
            <w:r>
              <w:t xml:space="preserve">&lt; .001</w:t>
            </w:r>
          </w:p>
        </w:tc>
      </w:tr>
      <w:tr>
        <w:tc>
          <w:tcPr/>
          <w:p>
            <w:pPr>
              <w:pStyle w:val="Compact"/>
            </w:pPr>
            <w:r>
              <w:t xml:space="preserve">HHI, ages 13–14 (z)</w:t>
            </w:r>
          </w:p>
        </w:tc>
        <w:tc>
          <w:tcPr/>
          <w:p>
            <w:pPr>
              <w:pStyle w:val="Compact"/>
            </w:pPr>
            <w:r>
              <w:t xml:space="preserve">0.96</w:t>
            </w:r>
          </w:p>
        </w:tc>
        <w:tc>
          <w:tcPr/>
          <w:p>
            <w:pPr>
              <w:pStyle w:val="Compact"/>
            </w:pPr>
            <w:r>
              <w:t xml:space="preserve">[0.91, 1.01]</w:t>
            </w:r>
          </w:p>
        </w:tc>
        <w:tc>
          <w:tcPr/>
          <w:p>
            <w:pPr>
              <w:pStyle w:val="Compact"/>
            </w:pPr>
            <w:r>
              <w:t xml:space="preserve">.141</w:t>
            </w:r>
          </w:p>
        </w:tc>
      </w:tr>
      <w:tr>
        <w:tc>
          <w:tcPr/>
          <w:p>
            <w:pPr>
              <w:pStyle w:val="Compact"/>
            </w:pPr>
            <w:r>
              <w:rPr>
                <w:b/>
                <w:bCs/>
              </w:rPr>
              <w:t xml:space="preserve">Volume at age 15–16 (z)</w:t>
            </w:r>
          </w:p>
        </w:tc>
        <w:tc>
          <w:tcPr/>
          <w:p>
            <w:pPr>
              <w:pStyle w:val="Compact"/>
            </w:pPr>
            <w:r>
              <w:t xml:space="preserve">0.52</w:t>
            </w:r>
          </w:p>
        </w:tc>
        <w:tc>
          <w:tcPr/>
          <w:p>
            <w:pPr>
              <w:pStyle w:val="Compact"/>
            </w:pPr>
            <w:r>
              <w:t xml:space="preserve">[0.47, 0.56]</w:t>
            </w:r>
          </w:p>
        </w:tc>
        <w:tc>
          <w:tcPr/>
          <w:p>
            <w:pPr>
              <w:pStyle w:val="Compact"/>
            </w:pPr>
            <w:r>
              <w:t xml:space="preserve">&lt; .001</w:t>
            </w:r>
          </w:p>
        </w:tc>
      </w:tr>
      <w:tr>
        <w:tc>
          <w:tcPr/>
          <w:p>
            <w:pPr>
              <w:pStyle w:val="Compact"/>
            </w:pPr>
            <w:r>
              <w:t xml:space="preserve">Championship types</w:t>
            </w:r>
          </w:p>
        </w:tc>
        <w:tc>
          <w:tcPr/>
          <w:p>
            <w:pPr>
              <w:pStyle w:val="Compact"/>
            </w:pPr>
            <w:r>
              <w:t xml:space="preserve">0.81</w:t>
            </w:r>
          </w:p>
        </w:tc>
        <w:tc>
          <w:tcPr/>
          <w:p>
            <w:pPr>
              <w:pStyle w:val="Compact"/>
            </w:pPr>
            <w:r>
              <w:t xml:space="preserve">[0.74, 0.87]</w:t>
            </w:r>
          </w:p>
        </w:tc>
        <w:tc>
          <w:tcPr/>
          <w:p>
            <w:pPr>
              <w:pStyle w:val="Compact"/>
            </w:pPr>
            <w:r>
              <w:t xml:space="preserve">&lt; .001</w:t>
            </w:r>
          </w:p>
        </w:tc>
      </w:tr>
    </w:tbl>
    <w:p>
      <w:pPr>
        <w:pStyle w:val="BodyText"/>
      </w:pPr>
      <w:r>
        <w:rPr>
          <w:i/>
          <w:iCs/>
        </w:rPr>
        <w:t xml:space="preserve">Note.</w:t>
      </w:r>
      <w:r>
        <w:t xml:space="preserve"> </w:t>
      </w:r>
      <w:r>
        <w:t xml:space="preserve">Excludes 595 athletes with vol_milestone = 0; remaining n = 1,541; C-index = 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t xml:space="preserve">2,138</w:t>
            </w:r>
          </w:p>
        </w:tc>
        <w:tc>
          <w:tcPr/>
          <w:p>
            <w:pPr>
              <w:pStyle w:val="Compact"/>
            </w:pPr>
            <w:r>
              <w:t xml:space="preserve">All included athletes</w:t>
            </w:r>
          </w:p>
        </w:tc>
      </w:tr>
      <w:tr>
        <w:tc>
          <w:tcPr/>
          <w:p>
            <w:pPr>
              <w:pStyle w:val="Compact"/>
            </w:pPr>
            <w:r>
              <w:t xml:space="preserve">Sex known</w:t>
            </w:r>
          </w:p>
        </w:tc>
        <w:tc>
          <w:tcPr/>
          <w:p>
            <w:pPr>
              <w:pStyle w:val="Compact"/>
            </w:pPr>
            <w:r>
              <w:t xml:space="preserve">2,136</w:t>
            </w:r>
          </w:p>
        </w:tc>
        <w:tc>
          <w:tcPr/>
          <w:p>
            <w:pPr>
              <w:pStyle w:val="Compact"/>
            </w:pPr>
            <w: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t xml:space="preserve">1,925</w:t>
            </w:r>
          </w:p>
        </w:tc>
        <w:tc>
          <w:tcPr/>
          <w:p>
            <w:pPr>
              <w:pStyle w:val="Compact"/>
            </w:pPr>
            <w:r>
              <w:t xml:space="preserve">Of 1,926 athletes with ≥1 result at age 14; complete case on sex and Tyrving</w:t>
            </w:r>
          </w:p>
        </w:tc>
      </w:tr>
      <w:tr>
        <w:tc>
          <w:tcPr/>
          <w:p>
            <w:pPr>
              <w:pStyle w:val="Compact"/>
            </w:pPr>
            <w:r>
              <w:t xml:space="preserve">Contamination-free change model</w:t>
            </w:r>
          </w:p>
        </w:tc>
        <w:tc>
          <w:tcPr/>
          <w:p>
            <w:pPr>
              <w:pStyle w:val="Compact"/>
            </w:pPr>
            <w:r>
              <w:t xml:space="preserve">1,088</w:t>
            </w:r>
          </w:p>
        </w:tc>
        <w:tc>
          <w:tcPr/>
          <w:p>
            <w:pPr>
              <w:pStyle w:val="Compact"/>
            </w:pPr>
            <w:r>
              <w:t xml:space="preserve">Of 1,089 athletes with ≥2 results at age 16; complete case on sex</w:t>
            </w:r>
          </w:p>
        </w:tc>
      </w:tr>
      <w:tr>
        <w:tc>
          <w:tcPr/>
          <w:p>
            <w:pPr>
              <w:pStyle w:val="Compact"/>
            </w:pPr>
            <w:r>
              <w:t xml:space="preserve">Baseline-only Cox (Supplementary Tables S10, S16, S30)</w:t>
            </w:r>
          </w:p>
        </w:tc>
        <w:tc>
          <w:tcPr/>
          <w:p>
            <w:pPr>
              <w:pStyle w:val="Compact"/>
            </w:pPr>
            <w:r>
              <w:t xml:space="preserve">1,908</w:t>
            </w:r>
          </w:p>
        </w:tc>
        <w:tc>
          <w:tcPr/>
          <w:p>
            <w:pPr>
              <w:pStyle w:val="Compact"/>
            </w:pPr>
            <w:r>
              <w:t xml:space="preserve">Time zero at the end of the age-14 season; excludes the 229 athletes whose final active season was at 13</w:t>
            </w:r>
          </w:p>
        </w:tc>
      </w:tr>
      <w:tr>
        <w:tc>
          <w:tcPr/>
          <w:p>
            <w:pPr>
              <w:pStyle w:val="Compact"/>
            </w:pPr>
            <w:r>
              <w:t xml:space="preserve">Landmark Cox at age 16</w:t>
            </w:r>
          </w:p>
        </w:tc>
        <w:tc>
          <w:tcPr/>
          <w:p>
            <w:pPr>
              <w:pStyle w:val="Compact"/>
            </w:pPr>
            <w:r>
              <w:t xml:space="preserve">1,147</w:t>
            </w:r>
          </w:p>
        </w:tc>
        <w:tc>
          <w:tcPr/>
          <w:p>
            <w:pPr>
              <w:pStyle w:val="Compact"/>
            </w:pPr>
            <w:r>
              <w:t xml:space="preserve">Of 1,148 athletes still in their career at 16 (final active season at 16 or later); complete case on model covariates</w:t>
            </w:r>
          </w:p>
        </w:tc>
      </w:tr>
      <w:tr>
        <w:tc>
          <w:tcPr/>
          <w:p>
            <w:pPr>
              <w:pStyle w:val="Compact"/>
            </w:pPr>
            <w:r>
              <w:t xml:space="preserve">Performance-trajectory comparison (Table S15)</w:t>
            </w:r>
          </w:p>
        </w:tc>
        <w:tc>
          <w:tcPr/>
          <w:p>
            <w:pPr>
              <w:pStyle w:val="Compact"/>
            </w:pPr>
            <w:r>
              <w:t xml:space="preserve">1,721</w:t>
            </w:r>
          </w:p>
        </w:tc>
        <w:tc>
          <w:tcPr/>
          <w:p>
            <w:pPr>
              <w:pStyle w:val="Compact"/>
            </w:pPr>
            <w:r>
              <w:t xml:space="preserve">Complete case on Tyrving at both age 13 and age 14</w:t>
            </w:r>
          </w:p>
        </w:tc>
      </w:tr>
      <w:tr>
        <w:tc>
          <w:tcPr/>
          <w:p>
            <w:pPr>
              <w:pStyle w:val="Compact"/>
            </w:pPr>
            <w:r>
              <w:t xml:space="preserve">Nested predictor subsets (Table S17)</w:t>
            </w:r>
          </w:p>
        </w:tc>
        <w:tc>
          <w:tcPr/>
          <w:p>
            <w:pPr>
              <w:pStyle w:val="Compact"/>
            </w:pPr>
            <w:r>
              <w:t xml:space="preserve">1,501</w:t>
            </w:r>
          </w:p>
        </w:tc>
        <w:tc>
          <w:tcPr/>
          <w:p>
            <w:pPr>
              <w:pStyle w:val="Compact"/>
            </w:pPr>
            <w:r>
              <w:t xml:space="preserve">Complete case on all 22 candidate predictors</w:t>
            </w:r>
          </w:p>
        </w:tc>
      </w:tr>
      <w:tr>
        <w:tc>
          <w:tcPr/>
          <w:p>
            <w:pPr>
              <w:pStyle w:val="Compact"/>
            </w:pPr>
            <w:r>
              <w:t xml:space="preserve">Multiple imputation</w:t>
            </w:r>
          </w:p>
        </w:tc>
        <w:tc>
          <w:tcPr/>
          <w:p>
            <w:pPr>
              <w:pStyle w:val="Compact"/>
            </w:pPr>
            <w:r>
              <w:t xml:space="preserve">2,136</w:t>
            </w:r>
          </w:p>
        </w:tc>
        <w:tc>
          <w:tcPr/>
          <w:p>
            <w:pPr>
              <w:pStyle w:val="Compact"/>
            </w:pPr>
            <w:r>
              <w:t xml:space="preserve">All athletes with known sex; Tyrving imputed (m = 20)</w:t>
            </w:r>
          </w:p>
        </w:tc>
      </w:tr>
      <w:tr>
        <w:tc>
          <w:tcPr/>
          <w:p>
            <w:pPr>
              <w:pStyle w:val="Compact"/>
            </w:pPr>
            <w:r>
              <w:t xml:space="preserve">Within-athlete fixed-effects model (Table S28)</w:t>
            </w:r>
          </w:p>
        </w:tc>
        <w:tc>
          <w:tcPr/>
          <w:p>
            <w:pPr>
              <w:pStyle w:val="Compact"/>
            </w:pPr>
            <w:r>
              <w:t xml:space="preserve">1,909</w:t>
            </w:r>
          </w:p>
        </w:tc>
        <w:tc>
          <w:tcPr/>
          <w:p>
            <w:pPr>
              <w:pStyle w:val="Compact"/>
            </w:pPr>
            <w:r>
              <w:t xml:space="preserve">Athletes with ≥2 athlete-seasons at ages 13–19 up to and including the final active season (8,490 athlete-seasons)</w:t>
            </w:r>
          </w:p>
        </w:tc>
      </w:tr>
      <w:tr>
        <w:tc>
          <w:tcPr/>
          <w:p>
            <w:pPr>
              <w:pStyle w:val="Compact"/>
            </w:pPr>
            <w:r>
              <w:t xml:space="preserve">Specialization confound models (S18 B/C)</w:t>
            </w:r>
          </w:p>
        </w:tc>
        <w:tc>
          <w:tcPr/>
          <w:p>
            <w:pPr>
              <w:pStyle w:val="Compact"/>
            </w:pPr>
            <w:r>
              <w:t xml:space="preserve">2,135 / 2,135</w:t>
            </w:r>
          </w:p>
        </w:tc>
        <w:tc>
          <w:tcPr/>
          <w:p>
            <w:pPr>
              <w:pStyle w:val="Compact"/>
            </w:pPr>
            <w: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 (Panel A) and birth-quarter coding (Panel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0.54</w:t>
            </w:r>
          </w:p>
        </w:tc>
        <w:tc>
          <w:tcPr/>
          <w:p>
            <w:pPr>
              <w:pStyle w:val="Compact"/>
            </w:pPr>
            <w:r>
              <w:t xml:space="preserve">[0.42, 0.70]</w:t>
            </w:r>
          </w:p>
        </w:tc>
        <w:tc>
          <w:tcPr/>
          <w:p>
            <w:pPr>
              <w:pStyle w:val="Compact"/>
            </w:pPr>
            <w:r>
              <w:t xml:space="preserve">&lt; .001</w:t>
            </w:r>
          </w:p>
        </w:tc>
      </w:tr>
      <w:tr>
        <w:tc>
          <w:tcPr/>
          <w:p>
            <w:pPr>
              <w:pStyle w:val="Compact"/>
            </w:pPr>
            <w:r>
              <w:t xml:space="preserve">Tyrving (z)</w:t>
            </w:r>
          </w:p>
        </w:tc>
        <w:tc>
          <w:tcPr/>
          <w:p>
            <w:pPr>
              <w:pStyle w:val="Compact"/>
            </w:pPr>
            <w:r>
              <w:t xml:space="preserve">1.82</w:t>
            </w:r>
          </w:p>
        </w:tc>
        <w:tc>
          <w:tcPr/>
          <w:p>
            <w:pPr>
              <w:pStyle w:val="Compact"/>
            </w:pPr>
            <w:r>
              <w:t xml:space="preserve">[1.53, 2.18]</w:t>
            </w:r>
          </w:p>
        </w:tc>
        <w:tc>
          <w:tcPr/>
          <w:p>
            <w:pPr>
              <w:pStyle w:val="Compact"/>
            </w:pPr>
            <w:r>
              <w:t xml:space="preserve">&lt; .001</w:t>
            </w:r>
          </w:p>
        </w:tc>
      </w:tr>
      <w:tr>
        <w:tc>
          <w:tcPr/>
          <w:p>
            <w:pPr>
              <w:pStyle w:val="Compact"/>
            </w:pPr>
            <w:r>
              <w:t xml:space="preserve">HHI, ages 13–14 (z)</w:t>
            </w:r>
          </w:p>
        </w:tc>
        <w:tc>
          <w:tcPr/>
          <w:p>
            <w:pPr>
              <w:pStyle w:val="Compact"/>
            </w:pPr>
            <w:r>
              <w:t xml:space="preserve">1.17</w:t>
            </w:r>
          </w:p>
        </w:tc>
        <w:tc>
          <w:tcPr/>
          <w:p>
            <w:pPr>
              <w:pStyle w:val="Compact"/>
            </w:pPr>
            <w:r>
              <w:t xml:space="preserve">[1.02, 1.32]</w:t>
            </w:r>
          </w:p>
        </w:tc>
        <w:tc>
          <w:tcPr/>
          <w:p>
            <w:pPr>
              <w:pStyle w:val="Compact"/>
            </w:pPr>
            <w:r>
              <w:t xml:space="preserve">.020</w:t>
            </w:r>
          </w:p>
        </w:tc>
      </w:tr>
      <w:tr>
        <w:tc>
          <w:tcPr/>
          <w:p>
            <w:pPr>
              <w:pStyle w:val="Compact"/>
            </w:pPr>
            <w:r>
              <w:rPr>
                <w:b/>
                <w:bCs/>
              </w:rP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r>
      <w:tr>
        <w:tc>
          <w:tcPr/>
          <w:p>
            <w:pPr>
              <w:pStyle w:val="Compact"/>
            </w:pPr>
            <w:r>
              <w:t xml:space="preserve">Q1 born</w:t>
            </w:r>
          </w:p>
        </w:tc>
        <w:tc>
          <w:tcPr/>
          <w:p>
            <w:pPr>
              <w:pStyle w:val="Compact"/>
            </w:pPr>
            <w:r>
              <w:t xml:space="preserve">0.73</w:t>
            </w:r>
          </w:p>
        </w:tc>
        <w:tc>
          <w:tcPr/>
          <w:p>
            <w:pPr>
              <w:pStyle w:val="Compact"/>
            </w:pPr>
            <w:r>
              <w:t xml:space="preserve">[0.55, 0.98]</w:t>
            </w:r>
          </w:p>
        </w:tc>
        <w:tc>
          <w:tcPr/>
          <w:p>
            <w:pPr>
              <w:pStyle w:val="Compact"/>
            </w:pPr>
            <w:r>
              <w:t xml:space="preserve">.036</w:t>
            </w:r>
          </w:p>
        </w:tc>
      </w:tr>
      <w:tr>
        <w:tc>
          <w:tcPr/>
          <w:p>
            <w:pPr>
              <w:pStyle w:val="Compact"/>
            </w:pPr>
            <w:r>
              <w:t xml:space="preserve">Q4 born</w:t>
            </w:r>
          </w:p>
        </w:tc>
        <w:tc>
          <w:tcPr/>
          <w:p>
            <w:pPr>
              <w:pStyle w:val="Compact"/>
            </w:pPr>
            <w:r>
              <w:t xml:space="preserve">1.14</w:t>
            </w:r>
          </w:p>
        </w:tc>
        <w:tc>
          <w:tcPr/>
          <w:p>
            <w:pPr>
              <w:pStyle w:val="Compact"/>
            </w:pPr>
            <w:r>
              <w:t xml:space="preserve">[0.80, 1.64]</w:t>
            </w:r>
          </w:p>
        </w:tc>
        <w:tc>
          <w:tcPr/>
          <w:p>
            <w:pPr>
              <w:pStyle w:val="Compact"/>
            </w:pPr>
            <w:r>
              <w:t xml:space="preserve">.465</w:t>
            </w:r>
          </w:p>
        </w:tc>
      </w:tr>
      <w:tr>
        <w:tc>
          <w:tcPr/>
          <w:p>
            <w:pPr>
              <w:pStyle w:val="Compact"/>
            </w:pPr>
            <w:r>
              <w:t xml:space="preserve">Region: Østlandet</w:t>
            </w:r>
          </w:p>
        </w:tc>
        <w:tc>
          <w:tcPr/>
          <w:p>
            <w:pPr>
              <w:pStyle w:val="Compact"/>
            </w:pPr>
            <w:r>
              <w:t xml:space="preserve">1.29</w:t>
            </w:r>
          </w:p>
        </w:tc>
        <w:tc>
          <w:tcPr/>
          <w:p>
            <w:pPr>
              <w:pStyle w:val="Compact"/>
            </w:pPr>
            <w:r>
              <w:t xml:space="preserve">[0.96, 1.74]</w:t>
            </w:r>
          </w:p>
        </w:tc>
        <w:tc>
          <w:tcPr/>
          <w:p>
            <w:pPr>
              <w:pStyle w:val="Compact"/>
            </w:pPr>
            <w:r>
              <w:t xml:space="preserve">.095</w:t>
            </w:r>
          </w:p>
        </w:tc>
      </w:tr>
      <w:tr>
        <w:tc>
          <w:tcPr/>
          <w:p>
            <w:pPr>
              <w:pStyle w:val="Compact"/>
            </w:pPr>
            <w:r>
              <w:t xml:space="preserve">Region: Midt-Norge</w:t>
            </w:r>
          </w:p>
        </w:tc>
        <w:tc>
          <w:tcPr/>
          <w:p>
            <w:pPr>
              <w:pStyle w:val="Compact"/>
            </w:pPr>
            <w:r>
              <w:t xml:space="preserve">1.05</w:t>
            </w:r>
          </w:p>
        </w:tc>
        <w:tc>
          <w:tcPr/>
          <w:p>
            <w:pPr>
              <w:pStyle w:val="Compact"/>
            </w:pPr>
            <w:r>
              <w:t xml:space="preserve">[0.73, 1.53]</w:t>
            </w:r>
          </w:p>
        </w:tc>
        <w:tc>
          <w:tcPr/>
          <w:p>
            <w:pPr>
              <w:pStyle w:val="Compact"/>
            </w:pPr>
            <w:r>
              <w:t xml:space="preserve">.778</w:t>
            </w:r>
          </w:p>
        </w:tc>
      </w:tr>
      <w:tr>
        <w:tc>
          <w:tcPr/>
          <w:p>
            <w:pPr>
              <w:pStyle w:val="Compact"/>
            </w:pPr>
            <w:r>
              <w:t xml:space="preserve">Club size (z)</w:t>
            </w:r>
          </w:p>
        </w:tc>
        <w:tc>
          <w:tcPr/>
          <w:p>
            <w:pPr>
              <w:pStyle w:val="Compact"/>
            </w:pPr>
            <w:r>
              <w:t xml:space="preserve">0.94</w:t>
            </w:r>
          </w:p>
        </w:tc>
        <w:tc>
          <w:tcPr/>
          <w:p>
            <w:pPr>
              <w:pStyle w:val="Compact"/>
            </w:pPr>
            <w:r>
              <w:t xml:space="preserve">[0.83, 1.07]</w:t>
            </w:r>
          </w:p>
        </w:tc>
        <w:tc>
          <w:tcPr/>
          <w:p>
            <w:pPr>
              <w:pStyle w:val="Compact"/>
            </w:pPr>
            <w:r>
              <w:t xml:space="preserve">.363</w:t>
            </w:r>
          </w:p>
        </w:tc>
      </w:tr>
    </w:tbl>
    <w:p>
      <w:pPr>
        <w:pStyle w:val="BodyText"/>
      </w:pPr>
      <w:r>
        <w:rPr>
          <w:i/>
          <w:iCs/>
        </w:rPr>
        <w:t xml:space="preserve">Note.</w:t>
      </w:r>
      <w:r>
        <w:t xml:space="preserve"> </w:t>
      </w:r>
      <w:r>
        <w:t xml:space="preserve">n = 2,136. Panel A (as submitted): Q1 and Q4 indicators against Q2–Q3, the relative-age extremes; the 90 athletes registered with birth year but no birth date (none of whom retained) fall in the reference group. Pre-milestone volume effect unchanged: OR 2.07 with controls vs. 2.04 without. Of the structural controls only Q1 born reached p &lt; .05 (OR 0.73 [0.55, 0.98]).</w:t>
      </w:r>
    </w:p>
    <w:p>
      <w:pPr>
        <w:pStyle w:val="BodyText"/>
      </w:pPr>
      <w:r>
        <w:rPr>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t xml:space="preserve">As submitted: Q1 and Q4 indicators vs. Q2–Q3 (unknown quarter coded to the reference)</w:t>
            </w:r>
          </w:p>
        </w:tc>
        <w:tc>
          <w:tcPr/>
          <w:p>
            <w:pPr>
              <w:pStyle w:val="Compact"/>
            </w:pPr>
            <w:r>
              <w:t xml:space="preserve">Q1 (Jan–Mar)</w:t>
            </w:r>
          </w:p>
        </w:tc>
        <w:tc>
          <w:tcPr/>
          <w:p>
            <w:pPr>
              <w:pStyle w:val="Compact"/>
            </w:pPr>
            <w:r>
              <w:t xml:space="preserve">0.73</w:t>
            </w:r>
          </w:p>
        </w:tc>
        <w:tc>
          <w:tcPr/>
          <w:p>
            <w:pPr>
              <w:pStyle w:val="Compact"/>
            </w:pPr>
            <w:r>
              <w:t xml:space="preserve">[0.55, 0.98]</w:t>
            </w:r>
          </w:p>
        </w:tc>
        <w:tc>
          <w:tcPr/>
          <w:p>
            <w:pPr>
              <w:pStyle w:val="Compact"/>
            </w:pPr>
            <w:r>
              <w:t xml:space="preserve">.036</w:t>
            </w:r>
          </w:p>
        </w:tc>
        <w:tc>
          <w:tcPr/>
          <w:p>
            <w:pPr>
              <w:pStyle w:val="Compact"/>
            </w:pPr>
            <w:r>
              <w:t xml:space="preserve">χ²(2) = 6.32, p = 0.04</w:t>
            </w:r>
          </w:p>
        </w:tc>
        <w:tc>
          <w:tcPr/>
          <w:p>
            <w:pPr>
              <w:pStyle w:val="Compact"/>
            </w:pPr>
            <w:r>
              <w:t xml:space="preserve">2,136</w:t>
            </w:r>
          </w:p>
        </w:tc>
      </w:tr>
      <w:tr>
        <w:tc>
          <w:tcPr/>
          <w:p>
            <w:pPr>
              <w:pStyle w:val="Compact"/>
            </w:pPr>
          </w:p>
        </w:tc>
        <w:tc>
          <w:tcPr/>
          <w:p>
            <w:pPr>
              <w:pStyle w:val="Compact"/>
            </w:pPr>
            <w:r>
              <w:t xml:space="preserve">Q4 (Oct–Dec)</w:t>
            </w:r>
          </w:p>
        </w:tc>
        <w:tc>
          <w:tcPr/>
          <w:p>
            <w:pPr>
              <w:pStyle w:val="Compact"/>
            </w:pPr>
            <w:r>
              <w:t xml:space="preserve">1.14</w:t>
            </w:r>
          </w:p>
        </w:tc>
        <w:tc>
          <w:tcPr/>
          <w:p>
            <w:pPr>
              <w:pStyle w:val="Compact"/>
            </w:pPr>
            <w:r>
              <w:t xml:space="preserve">[0.80, 1.64]</w:t>
            </w:r>
          </w:p>
        </w:tc>
        <w:tc>
          <w:tcPr/>
          <w:p>
            <w:pPr>
              <w:pStyle w:val="Compact"/>
            </w:pPr>
            <w:r>
              <w:t xml:space="preserve">.465</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2.07</w:t>
            </w:r>
          </w:p>
        </w:tc>
        <w:tc>
          <w:tcPr/>
          <w:p>
            <w:pPr>
              <w:pStyle w:val="Compact"/>
            </w:pPr>
            <w:r>
              <w:t xml:space="preserve">[1.82, 2.37]</w:t>
            </w:r>
          </w:p>
        </w:tc>
        <w:tc>
          <w:tcPr/>
          <w:p>
            <w:pPr>
              <w:pStyle w:val="Compact"/>
            </w:pPr>
            <w:r>
              <w:t xml:space="preserve">&lt; .001</w:t>
            </w:r>
          </w:p>
        </w:tc>
        <w:tc>
          <w:tcPr/>
          <w:p>
            <w:pPr>
              <w:pStyle w:val="Compact"/>
            </w:pPr>
          </w:p>
        </w:tc>
        <w:tc>
          <w:tcPr/>
          <w:p>
            <w:pPr>
              <w:pStyle w:val="Compact"/>
            </w:pPr>
          </w:p>
        </w:tc>
      </w:tr>
      <w:tr>
        <w:tc>
          <w:tcPr/>
          <w:p>
            <w:pPr>
              <w:pStyle w:val="Compact"/>
            </w:pPr>
            <w:r>
              <w:t xml:space="preserve">Q1 and Q4 indicators vs. Q2–Q3, known quarter only</w:t>
            </w:r>
          </w:p>
        </w:tc>
        <w:tc>
          <w:tcPr/>
          <w:p>
            <w:pPr>
              <w:pStyle w:val="Compact"/>
            </w:pPr>
            <w:r>
              <w:t xml:space="preserve">Q1 (Jan–Mar)</w:t>
            </w:r>
          </w:p>
        </w:tc>
        <w:tc>
          <w:tcPr/>
          <w:p>
            <w:pPr>
              <w:pStyle w:val="Compact"/>
            </w:pPr>
            <w:r>
              <w:t xml:space="preserve">0.70</w:t>
            </w:r>
          </w:p>
        </w:tc>
        <w:tc>
          <w:tcPr/>
          <w:p>
            <w:pPr>
              <w:pStyle w:val="Compact"/>
            </w:pPr>
            <w:r>
              <w:t xml:space="preserve">[0.53, 0.94]</w:t>
            </w:r>
          </w:p>
        </w:tc>
        <w:tc>
          <w:tcPr/>
          <w:p>
            <w:pPr>
              <w:pStyle w:val="Compact"/>
            </w:pPr>
            <w:r>
              <w:t xml:space="preserve">.017</w:t>
            </w:r>
          </w:p>
        </w:tc>
        <w:tc>
          <w:tcPr/>
          <w:p>
            <w:pPr>
              <w:pStyle w:val="Compact"/>
            </w:pPr>
            <w:r>
              <w:t xml:space="preserve">χ²(2) = 7.17, p = 0.03</w:t>
            </w:r>
          </w:p>
        </w:tc>
        <w:tc>
          <w:tcPr/>
          <w:p>
            <w:pPr>
              <w:pStyle w:val="Compact"/>
            </w:pPr>
            <w:r>
              <w:t xml:space="preserve">2,046</w:t>
            </w:r>
          </w:p>
        </w:tc>
      </w:tr>
      <w:tr>
        <w:tc>
          <w:tcPr/>
          <w:p>
            <w:pPr>
              <w:pStyle w:val="Compact"/>
            </w:pPr>
          </w:p>
        </w:tc>
        <w:tc>
          <w:tcPr/>
          <w:p>
            <w:pPr>
              <w:pStyle w:val="Compact"/>
            </w:pPr>
            <w:r>
              <w:t xml:space="preserve">Q4 (Oct–Dec)</w:t>
            </w:r>
          </w:p>
        </w:tc>
        <w:tc>
          <w:tcPr/>
          <w:p>
            <w:pPr>
              <w:pStyle w:val="Compact"/>
            </w:pPr>
            <w:r>
              <w:t xml:space="preserve">1.08</w:t>
            </w:r>
          </w:p>
        </w:tc>
        <w:tc>
          <w:tcPr/>
          <w:p>
            <w:pPr>
              <w:pStyle w:val="Compact"/>
            </w:pPr>
            <w:r>
              <w:t xml:space="preserve">[0.76, 1.55]</w:t>
            </w:r>
          </w:p>
        </w:tc>
        <w:tc>
          <w:tcPr/>
          <w:p>
            <w:pPr>
              <w:pStyle w:val="Compact"/>
            </w:pPr>
            <w:r>
              <w:t xml:space="preserve">.659</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2.31]</w:t>
            </w:r>
          </w:p>
        </w:tc>
        <w:tc>
          <w:tcPr/>
          <w:p>
            <w:pPr>
              <w:pStyle w:val="Compact"/>
            </w:pPr>
            <w:r>
              <w:t xml:space="preserve">&lt; .001</w:t>
            </w:r>
          </w:p>
        </w:tc>
        <w:tc>
          <w:tcPr/>
          <w:p>
            <w:pPr>
              <w:pStyle w:val="Compact"/>
            </w:pPr>
          </w:p>
        </w:tc>
        <w:tc>
          <w:tcPr/>
          <w:p>
            <w:pPr>
              <w:pStyle w:val="Compact"/>
            </w:pPr>
          </w:p>
        </w:tc>
      </w:tr>
      <w:tr>
        <w:tc>
          <w:tcPr/>
          <w:p>
            <w:pPr>
              <w:pStyle w:val="Compact"/>
            </w:pPr>
            <w:r>
              <w:t xml:space="preserve">Full coding: Q2, Q3, Q4 vs. Q1, known quarter only</w:t>
            </w:r>
          </w:p>
        </w:tc>
        <w:tc>
          <w:tcPr/>
          <w:p>
            <w:pPr>
              <w:pStyle w:val="Compact"/>
            </w:pPr>
            <w:r>
              <w:t xml:space="preserve">Q2 (Apr–Jun)</w:t>
            </w:r>
          </w:p>
        </w:tc>
        <w:tc>
          <w:tcPr/>
          <w:p>
            <w:pPr>
              <w:pStyle w:val="Compact"/>
            </w:pPr>
            <w:r>
              <w:t xml:space="preserve">1.37</w:t>
            </w:r>
          </w:p>
        </w:tc>
        <w:tc>
          <w:tcPr/>
          <w:p>
            <w:pPr>
              <w:pStyle w:val="Compact"/>
            </w:pPr>
            <w:r>
              <w:t xml:space="preserve">[0.99, 1.90]</w:t>
            </w:r>
          </w:p>
        </w:tc>
        <w:tc>
          <w:tcPr/>
          <w:p>
            <w:pPr>
              <w:pStyle w:val="Compact"/>
            </w:pPr>
            <w:r>
              <w:t xml:space="preserve">.061</w:t>
            </w:r>
          </w:p>
        </w:tc>
        <w:tc>
          <w:tcPr/>
          <w:p>
            <w:pPr>
              <w:pStyle w:val="Compact"/>
            </w:pPr>
            <w:r>
              <w:t xml:space="preserve">χ²(3) = 7.45, p = 0.06</w:t>
            </w:r>
          </w:p>
        </w:tc>
        <w:tc>
          <w:tcPr/>
          <w:p>
            <w:pPr>
              <w:pStyle w:val="Compact"/>
            </w:pPr>
            <w:r>
              <w:t xml:space="preserve">2,046</w:t>
            </w:r>
          </w:p>
        </w:tc>
      </w:tr>
      <w:tr>
        <w:tc>
          <w:tcPr/>
          <w:p>
            <w:pPr>
              <w:pStyle w:val="Compact"/>
            </w:pPr>
          </w:p>
        </w:tc>
        <w:tc>
          <w:tcPr/>
          <w:p>
            <w:pPr>
              <w:pStyle w:val="Compact"/>
            </w:pPr>
            <w:r>
              <w:t xml:space="preserve">Q3 (Jul–Sep)</w:t>
            </w:r>
          </w:p>
        </w:tc>
        <w:tc>
          <w:tcPr/>
          <w:p>
            <w:pPr>
              <w:pStyle w:val="Compact"/>
            </w:pPr>
            <w:r>
              <w:t xml:space="preserve">1.50</w:t>
            </w:r>
          </w:p>
        </w:tc>
        <w:tc>
          <w:tcPr/>
          <w:p>
            <w:pPr>
              <w:pStyle w:val="Compact"/>
            </w:pPr>
            <w:r>
              <w:t xml:space="preserve">[1.06, 2.13]</w:t>
            </w:r>
          </w:p>
        </w:tc>
        <w:tc>
          <w:tcPr/>
          <w:p>
            <w:pPr>
              <w:pStyle w:val="Compact"/>
            </w:pPr>
            <w:r>
              <w:t xml:space="preserve">.022</w:t>
            </w:r>
          </w:p>
        </w:tc>
        <w:tc>
          <w:tcPr/>
          <w:p>
            <w:pPr>
              <w:pStyle w:val="Compact"/>
            </w:pPr>
          </w:p>
        </w:tc>
        <w:tc>
          <w:tcPr/>
          <w:p>
            <w:pPr>
              <w:pStyle w:val="Compact"/>
            </w:pPr>
          </w:p>
        </w:tc>
      </w:tr>
      <w:tr>
        <w:tc>
          <w:tcPr/>
          <w:p>
            <w:pPr>
              <w:pStyle w:val="Compact"/>
            </w:pPr>
          </w:p>
        </w:tc>
        <w:tc>
          <w:tcPr/>
          <w:p>
            <w:pPr>
              <w:pStyle w:val="Compact"/>
            </w:pPr>
            <w:r>
              <w:t xml:space="preserve">Q4 (Oct–Dec)</w:t>
            </w:r>
          </w:p>
        </w:tc>
        <w:tc>
          <w:tcPr/>
          <w:p>
            <w:pPr>
              <w:pStyle w:val="Compact"/>
            </w:pPr>
            <w:r>
              <w:t xml:space="preserve">1.55</w:t>
            </w:r>
          </w:p>
        </w:tc>
        <w:tc>
          <w:tcPr/>
          <w:p>
            <w:pPr>
              <w:pStyle w:val="Compact"/>
            </w:pPr>
            <w:r>
              <w:t xml:space="preserve">[1.04, 2.30]</w:t>
            </w:r>
          </w:p>
        </w:tc>
        <w:tc>
          <w:tcPr/>
          <w:p>
            <w:pPr>
              <w:pStyle w:val="Compact"/>
            </w:pPr>
            <w:r>
              <w:t xml:space="preserve">.032</w:t>
            </w:r>
          </w:p>
        </w:tc>
        <w:tc>
          <w:tcPr/>
          <w:p>
            <w:pPr>
              <w:pStyle w:val="Compact"/>
            </w:pPr>
          </w:p>
        </w:tc>
        <w:tc>
          <w:tcPr/>
          <w:p>
            <w:pPr>
              <w:pStyle w:val="Compact"/>
            </w:pPr>
          </w:p>
        </w:tc>
      </w:tr>
      <w:tr>
        <w:tc>
          <w:tcPr/>
          <w:p>
            <w:pPr>
              <w:pStyle w:val="Compact"/>
            </w:pPr>
          </w:p>
        </w:tc>
        <w:tc>
          <w:tcPr/>
          <w:p>
            <w:pPr>
              <w:pStyle w:val="Compact"/>
            </w:pPr>
            <w:r>
              <w:t xml:space="preserve">Pre-milestone volume (z)</w:t>
            </w:r>
          </w:p>
        </w:tc>
        <w:tc>
          <w:tcPr/>
          <w:p>
            <w:pPr>
              <w:pStyle w:val="Compact"/>
            </w:pPr>
            <w:r>
              <w:t xml:space="preserve">2.02</w:t>
            </w:r>
          </w:p>
        </w:tc>
        <w:tc>
          <w:tcPr/>
          <w:p>
            <w:pPr>
              <w:pStyle w:val="Compact"/>
            </w:pPr>
            <w:r>
              <w:t xml:space="preserve">[1.77, 2.30]</w:t>
            </w:r>
          </w:p>
        </w:tc>
        <w:tc>
          <w:tcPr/>
          <w:p>
            <w:pPr>
              <w:pStyle w:val="Compact"/>
            </w:pPr>
            <w:r>
              <w:t xml:space="preserve">&lt; .001</w:t>
            </w:r>
          </w:p>
        </w:tc>
        <w:tc>
          <w:tcPr/>
          <w:p>
            <w:pPr>
              <w:pStyle w:val="Compact"/>
            </w:pPr>
          </w:p>
        </w:tc>
        <w:tc>
          <w:tcPr/>
          <w:p>
            <w:pPr>
              <w:pStyle w:val="Compact"/>
            </w:pPr>
          </w:p>
        </w:tc>
      </w:tr>
      <w:tr>
        <w:tc>
          <w:tcPr/>
          <w:p>
            <w:pPr>
              <w:pStyle w:val="Compact"/>
            </w:pPr>
            <w:r>
              <w:t xml:space="preserve">Linear trend across quarters 1–4, known quarter only</w:t>
            </w:r>
          </w:p>
        </w:tc>
        <w:tc>
          <w:tcPr/>
          <w:p>
            <w:pPr>
              <w:pStyle w:val="Compact"/>
            </w:pPr>
            <w:r>
              <w:t xml:space="preserve">Quarter (linear, 1–4)</w:t>
            </w:r>
          </w:p>
        </w:tc>
        <w:tc>
          <w:tcPr/>
          <w:p>
            <w:pPr>
              <w:pStyle w:val="Compact"/>
            </w:pPr>
            <w:r>
              <w:t xml:space="preserve">1.16</w:t>
            </w:r>
          </w:p>
        </w:tc>
        <w:tc>
          <w:tcPr/>
          <w:p>
            <w:pPr>
              <w:pStyle w:val="Compact"/>
            </w:pPr>
            <w:r>
              <w:t xml:space="preserve">[1.03, 1.31]</w:t>
            </w:r>
          </w:p>
        </w:tc>
        <w:tc>
          <w:tcPr/>
          <w:p>
            <w:pPr>
              <w:pStyle w:val="Compact"/>
            </w:pPr>
            <w:r>
              <w:t xml:space="preserve">.013</w:t>
            </w:r>
          </w:p>
        </w:tc>
        <w:tc>
          <w:tcPr/>
          <w:p>
            <w:pPr>
              <w:pStyle w:val="Compact"/>
            </w:pPr>
            <w:r>
              <w:t xml:space="preserve">χ²(1) = 6.11, p = 0.01</w:t>
            </w:r>
          </w:p>
        </w:tc>
        <w:tc>
          <w:tcPr/>
          <w:p>
            <w:pPr>
              <w:pStyle w:val="Compact"/>
            </w:pPr>
            <w:r>
              <w:t xml:space="preserve">2,046</w:t>
            </w:r>
          </w:p>
        </w:tc>
      </w:tr>
      <w:tr>
        <w:tc>
          <w:tcPr/>
          <w:p>
            <w:pPr>
              <w:pStyle w:val="Compact"/>
            </w:pPr>
          </w:p>
        </w:tc>
        <w:tc>
          <w:tcPr/>
          <w:p>
            <w:pPr>
              <w:pStyle w:val="Compact"/>
            </w:pPr>
            <w:r>
              <w:t xml:space="preserve">Pre-milestone volume (z)</w:t>
            </w:r>
          </w:p>
        </w:tc>
        <w:tc>
          <w:tcPr/>
          <w:p>
            <w:pPr>
              <w:pStyle w:val="Compact"/>
            </w:pPr>
            <w:r>
              <w:t xml:space="preserve">2.01</w:t>
            </w:r>
          </w:p>
        </w:tc>
        <w:tc>
          <w:tcPr/>
          <w:p>
            <w:pPr>
              <w:pStyle w:val="Compact"/>
            </w:pPr>
            <w:r>
              <w:t xml:space="preserve">[1.76, 2.30]</w:t>
            </w:r>
          </w:p>
        </w:tc>
        <w:tc>
          <w:tcPr/>
          <w:p>
            <w:pPr>
              <w:pStyle w:val="Compact"/>
            </w:pPr>
            <w:r>
              <w:t xml:space="preserve">&lt; .001</w:t>
            </w:r>
          </w:p>
        </w:tc>
        <w:tc>
          <w:tcPr/>
          <w:p>
            <w:pPr>
              <w:pStyle w:val="Compact"/>
            </w:pPr>
          </w:p>
        </w:tc>
        <w:tc>
          <w:tcPr/>
          <w:p>
            <w:pPr>
              <w:pStyle w:val="Compact"/>
            </w:pPr>
          </w:p>
        </w:tc>
      </w:tr>
    </w:tbl>
    <w:p>
      <w:pPr>
        <w:pStyle w:val="BodyText"/>
      </w:pPr>
      <w: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 Level-versus-change analysis details (athletes with ≥1 result at age 14; complete-case n = 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c>
          <w:tcPr/>
          <w:p>
            <w:pPr>
              <w:pStyle w:val="Compact"/>
            </w:pPr>
            <w:r>
              <w:t xml:space="preserve">0.150</w:t>
            </w:r>
          </w:p>
        </w:tc>
        <w:tc>
          <w:tcPr/>
          <w:p>
            <w:pPr>
              <w:pStyle w:val="Compact"/>
            </w:pPr>
            <w:r>
              <w:t xml:space="preserve">0.763</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2.05</w:t>
            </w:r>
          </w:p>
        </w:tc>
        <w:tc>
          <w:tcPr/>
          <w:p>
            <w:pPr>
              <w:pStyle w:val="Compact"/>
            </w:pPr>
            <w: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c>
          <w:tcPr/>
          <w:p>
            <w:pPr>
              <w:pStyle w:val="Compact"/>
            </w:pPr>
            <w:r>
              <w:t xml:space="preserve">0.245</w:t>
            </w:r>
          </w:p>
        </w:tc>
        <w:tc>
          <w:tcPr/>
          <w:p>
            <w:pPr>
              <w:pStyle w:val="Compact"/>
            </w:pPr>
            <w:r>
              <w:t xml:space="preserve">0.833</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t xml:space="preserve">2.51</w:t>
            </w:r>
          </w:p>
        </w:tc>
        <w:tc>
          <w:tcPr/>
          <w:p>
            <w:pPr>
              <w:pStyle w:val="Compact"/>
            </w:pPr>
            <w: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t xml:space="preserve">2.29</w:t>
            </w:r>
          </w:p>
        </w:tc>
        <w:tc>
          <w:tcPr/>
          <w:p>
            <w:pPr>
              <w:pStyle w:val="Compact"/>
            </w:pPr>
            <w: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 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 (repeated 5-fold CV-AUC)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t xml:space="preserve">2,136</w:t>
            </w:r>
          </w:p>
        </w:tc>
        <w:tc>
          <w:tcPr/>
          <w:p>
            <w:pPr>
              <w:pStyle w:val="Compact"/>
            </w:pPr>
            <w:r>
              <w:t xml:space="preserve">0.700</w:t>
            </w:r>
          </w:p>
        </w:tc>
      </w:tr>
      <w:tr>
        <w:tc>
          <w:tcPr/>
          <w:p>
            <w:pPr>
              <w:pStyle w:val="Compact"/>
            </w:pPr>
            <w:r>
              <w:t xml:space="preserve">Sex + Tyrving + performance trajectory (Δ13–14)</w:t>
            </w:r>
          </w:p>
        </w:tc>
        <w:tc>
          <w:tcPr/>
          <w:p>
            <w:pPr>
              <w:pStyle w:val="Compact"/>
            </w:pPr>
            <w:r>
              <w:t xml:space="preserve">1,721</w:t>
            </w:r>
          </w:p>
        </w:tc>
        <w:tc>
          <w:tcPr/>
          <w:p>
            <w:pPr>
              <w:pStyle w:val="Compact"/>
            </w:pPr>
            <w:r>
              <w:t xml:space="preserve">0.737</w:t>
            </w:r>
          </w:p>
        </w:tc>
      </w:tr>
      <w:tr>
        <w:tc>
          <w:tcPr/>
          <w:p>
            <w:pPr>
              <w:pStyle w:val="Compact"/>
            </w:pPr>
            <w:r>
              <w:t xml:space="preserve">Sex + within-event percentile at the baseline meet</w:t>
            </w:r>
          </w:p>
        </w:tc>
        <w:tc>
          <w:tcPr/>
          <w:p>
            <w:pPr>
              <w:pStyle w:val="Compact"/>
            </w:pPr>
            <w:r>
              <w:t xml:space="preserve">2,136</w:t>
            </w:r>
          </w:p>
        </w:tc>
        <w:tc>
          <w:tcPr/>
          <w:p>
            <w:pPr>
              <w:pStyle w:val="Compact"/>
            </w:pPr>
            <w:r>
              <w:t xml:space="preserve">0.689</w:t>
            </w:r>
          </w:p>
        </w:tc>
      </w:tr>
      <w:tr>
        <w:tc>
          <w:tcPr/>
          <w:p>
            <w:pPr>
              <w:pStyle w:val="Compact"/>
            </w:pPr>
            <w:r>
              <w:t xml:space="preserve">Sex + pre-milestone volume</w:t>
            </w:r>
          </w:p>
        </w:tc>
        <w:tc>
          <w:tcPr/>
          <w:p>
            <w:pPr>
              <w:pStyle w:val="Compact"/>
            </w:pPr>
            <w:r>
              <w:t xml:space="preserve">2,136</w:t>
            </w:r>
          </w:p>
        </w:tc>
        <w:tc>
          <w:tcPr/>
          <w:p>
            <w:pPr>
              <w:pStyle w:val="Compact"/>
            </w:pPr>
            <w:r>
              <w:t xml:space="preserve">0.740</w:t>
            </w:r>
          </w:p>
        </w:tc>
      </w:tr>
      <w:tr>
        <w:tc>
          <w:tcPr/>
          <w:p>
            <w:pPr>
              <w:pStyle w:val="Compact"/>
            </w:pPr>
            <w:r>
              <w:t xml:space="preserve">Sex + pre-milestone volume (trajectory subsample)</w:t>
            </w:r>
          </w:p>
        </w:tc>
        <w:tc>
          <w:tcPr/>
          <w:p>
            <w:pPr>
              <w:pStyle w:val="Compact"/>
            </w:pPr>
            <w:r>
              <w:t xml:space="preserve">1,721</w:t>
            </w:r>
          </w:p>
        </w:tc>
        <w:tc>
          <w:tcPr/>
          <w:p>
            <w:pPr>
              <w:pStyle w:val="Compact"/>
            </w:pPr>
            <w:r>
              <w:t xml:space="preserve">0.736</w:t>
            </w:r>
          </w:p>
        </w:tc>
      </w:tr>
      <w:tr>
        <w:tc>
          <w:tcPr/>
          <w:p>
            <w:pPr>
              <w:pStyle w:val="Compact"/>
            </w:pPr>
            <w:r>
              <w:t xml:space="preserve">Sex + Tyrving + pre-milestone volume</w:t>
            </w:r>
          </w:p>
        </w:tc>
        <w:tc>
          <w:tcPr/>
          <w:p>
            <w:pPr>
              <w:pStyle w:val="Compact"/>
            </w:pPr>
            <w:r>
              <w:t xml:space="preserve">2,136</w:t>
            </w:r>
          </w:p>
        </w:tc>
        <w:tc>
          <w:tcPr/>
          <w:p>
            <w:pPr>
              <w:pStyle w:val="Compact"/>
            </w:pPr>
            <w:r>
              <w:t xml:space="preserve">0.763</w:t>
            </w:r>
          </w:p>
        </w:tc>
      </w:tr>
    </w:tbl>
    <w:p>
      <w:pPr>
        <w:pStyle w:val="BodyText"/>
      </w:pPr>
      <w:r>
        <w:rPr>
          <w:i/>
          <w:iCs/>
        </w:rPr>
        <w:t xml:space="preserve">Note.</w:t>
      </w:r>
      <w:r>
        <w:t xml:space="preserve"> </w:t>
      </w:r>
      <w:r>
        <w:t xml:space="preserve">Both predictors are observed during the baseline window (ages 13–14). Volume versus baseline Tyrving: difference 0.040 (95% CI 0.006 to 0.074); adding Tyrving to volume: 0.023 (95% CI 0.007 to 0.038); volume versus Tyrving with its within-baseline trajectory (subsample with Tyrving at both ages): −0.001 (95% CI −0.042 to 0.039); volume versus the within-event percentile at the meet: 0.051 (95% CI 0.019 to 0.083). Differences with 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1.23</w:t>
            </w:r>
          </w:p>
        </w:tc>
        <w:tc>
          <w:tcPr/>
          <w:p>
            <w:pPr>
              <w:pStyle w:val="Compact"/>
            </w:pPr>
            <w:r>
              <w:t xml:space="preserve">[1.12, 1.36]</w:t>
            </w:r>
          </w:p>
        </w:tc>
        <w:tc>
          <w:tcPr/>
          <w:p>
            <w:pPr>
              <w:pStyle w:val="Compact"/>
            </w:pPr>
            <w:r>
              <w:t xml:space="preserve">&lt; .001</w:t>
            </w:r>
          </w:p>
        </w:tc>
      </w:tr>
      <w:tr>
        <w:tc>
          <w:tcPr/>
          <w:p>
            <w:pPr>
              <w:pStyle w:val="Compact"/>
            </w:pPr>
            <w:r>
              <w:t xml:space="preserve">Tyrving (z)</w:t>
            </w:r>
          </w:p>
        </w:tc>
        <w:tc>
          <w:tcPr/>
          <w:p>
            <w:pPr>
              <w:pStyle w:val="Compact"/>
            </w:pPr>
            <w:r>
              <w:t xml:space="preserve">0.81</w:t>
            </w:r>
          </w:p>
        </w:tc>
        <w:tc>
          <w:tcPr/>
          <w:p>
            <w:pPr>
              <w:pStyle w:val="Compact"/>
            </w:pPr>
            <w:r>
              <w:t xml:space="preserve">[0.77, 0.85]</w:t>
            </w:r>
          </w:p>
        </w:tc>
        <w:tc>
          <w:tcPr/>
          <w:p>
            <w:pPr>
              <w:pStyle w:val="Compact"/>
            </w:pPr>
            <w:r>
              <w:t xml:space="preserve">&lt; .001</w:t>
            </w:r>
          </w:p>
        </w:tc>
      </w:tr>
      <w:tr>
        <w:tc>
          <w:tcPr/>
          <w:p>
            <w:pPr>
              <w:pStyle w:val="Compact"/>
            </w:pPr>
            <w:r>
              <w:t xml:space="preserve">HHI, ages 13–14 (z)</w:t>
            </w:r>
          </w:p>
        </w:tc>
        <w:tc>
          <w:tcPr/>
          <w:p>
            <w:pPr>
              <w:pStyle w:val="Compact"/>
            </w:pPr>
            <w:r>
              <w:t xml:space="preserve">0.91</w:t>
            </w:r>
          </w:p>
        </w:tc>
        <w:tc>
          <w:tcPr/>
          <w:p>
            <w:pPr>
              <w:pStyle w:val="Compact"/>
            </w:pPr>
            <w: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t xml:space="preserve">0.65</w:t>
            </w:r>
          </w:p>
        </w:tc>
        <w:tc>
          <w:tcPr/>
          <w:p>
            <w:pPr>
              <w:pStyle w:val="Compact"/>
            </w:pPr>
            <w:r>
              <w:t xml:space="preserve">[0.61, 0.69]</w:t>
            </w:r>
          </w:p>
        </w:tc>
        <w:tc>
          <w:tcPr/>
          <w:p>
            <w:pPr>
              <w:pStyle w:val="Compact"/>
            </w:pPr>
            <w:r>
              <w:t xml:space="preserve">&lt; .001</w:t>
            </w:r>
          </w:p>
        </w:tc>
      </w:tr>
      <w:tr>
        <w:tc>
          <w:tcPr/>
          <w:p>
            <w:pPr>
              <w:pStyle w:val="Compact"/>
            </w:pPr>
            <w:r>
              <w:t xml:space="preserve">Q1 born</w:t>
            </w:r>
          </w:p>
        </w:tc>
        <w:tc>
          <w:tcPr/>
          <w:p>
            <w:pPr>
              <w:pStyle w:val="Compact"/>
            </w:pPr>
            <w:r>
              <w:t xml:space="preserve">1.12</w:t>
            </w:r>
          </w:p>
        </w:tc>
        <w:tc>
          <w:tcPr/>
          <w:p>
            <w:pPr>
              <w:pStyle w:val="Compact"/>
            </w:pPr>
            <w:r>
              <w:t xml:space="preserve">[1.01, 1.24]</w:t>
            </w:r>
          </w:p>
        </w:tc>
        <w:tc>
          <w:tcPr/>
          <w:p>
            <w:pPr>
              <w:pStyle w:val="Compact"/>
            </w:pPr>
            <w:r>
              <w:t xml:space="preserve">.040</w:t>
            </w:r>
          </w:p>
        </w:tc>
      </w:tr>
      <w:tr>
        <w:tc>
          <w:tcPr/>
          <w:p>
            <w:pPr>
              <w:pStyle w:val="Compact"/>
            </w:pPr>
            <w:r>
              <w:t xml:space="preserve">Q4 born</w:t>
            </w:r>
          </w:p>
        </w:tc>
        <w:tc>
          <w:tcPr/>
          <w:p>
            <w:pPr>
              <w:pStyle w:val="Compact"/>
            </w:pPr>
            <w:r>
              <w:t xml:space="preserve">0.86</w:t>
            </w:r>
          </w:p>
        </w:tc>
        <w:tc>
          <w:tcPr/>
          <w:p>
            <w:pPr>
              <w:pStyle w:val="Compact"/>
            </w:pPr>
            <w:r>
              <w:t xml:space="preserve">[0.75, 0.98]</w:t>
            </w:r>
          </w:p>
        </w:tc>
        <w:tc>
          <w:tcPr/>
          <w:p>
            <w:pPr>
              <w:pStyle w:val="Compact"/>
            </w:pPr>
            <w:r>
              <w:t xml:space="preserve">.026</w:t>
            </w:r>
          </w:p>
        </w:tc>
      </w:tr>
      <w:tr>
        <w:tc>
          <w:tcPr/>
          <w:p>
            <w:pPr>
              <w:pStyle w:val="Compact"/>
            </w:pPr>
            <w:r>
              <w:t xml:space="preserve">Region: Østlandet</w:t>
            </w:r>
          </w:p>
        </w:tc>
        <w:tc>
          <w:tcPr/>
          <w:p>
            <w:pPr>
              <w:pStyle w:val="Compact"/>
            </w:pPr>
            <w:r>
              <w:t xml:space="preserve">0.94</w:t>
            </w:r>
          </w:p>
        </w:tc>
        <w:tc>
          <w:tcPr/>
          <w:p>
            <w:pPr>
              <w:pStyle w:val="Compact"/>
            </w:pPr>
            <w:r>
              <w:t xml:space="preserve">[0.84, 1.06]</w:t>
            </w:r>
          </w:p>
        </w:tc>
        <w:tc>
          <w:tcPr/>
          <w:p>
            <w:pPr>
              <w:pStyle w:val="Compact"/>
            </w:pPr>
            <w:r>
              <w:t xml:space="preserve">.310</w:t>
            </w:r>
          </w:p>
        </w:tc>
      </w:tr>
      <w:tr>
        <w:tc>
          <w:tcPr/>
          <w:p>
            <w:pPr>
              <w:pStyle w:val="Compact"/>
            </w:pPr>
            <w:r>
              <w:t xml:space="preserve">Region: Midt-Norge</w:t>
            </w:r>
          </w:p>
        </w:tc>
        <w:tc>
          <w:tcPr/>
          <w:p>
            <w:pPr>
              <w:pStyle w:val="Compact"/>
            </w:pPr>
            <w:r>
              <w:t xml:space="preserve">1.01</w:t>
            </w:r>
          </w:p>
        </w:tc>
        <w:tc>
          <w:tcPr/>
          <w:p>
            <w:pPr>
              <w:pStyle w:val="Compact"/>
            </w:pPr>
            <w:r>
              <w:t xml:space="preserve">[0.88, 1.15]</w:t>
            </w:r>
          </w:p>
        </w:tc>
        <w:tc>
          <w:tcPr/>
          <w:p>
            <w:pPr>
              <w:pStyle w:val="Compact"/>
            </w:pPr>
            <w:r>
              <w:t xml:space="preserve">.932</w:t>
            </w:r>
          </w:p>
        </w:tc>
      </w:tr>
      <w:tr>
        <w:tc>
          <w:tcPr/>
          <w:p>
            <w:pPr>
              <w:pStyle w:val="Compact"/>
            </w:pPr>
            <w:r>
              <w:t xml:space="preserve">Club size (z)</w:t>
            </w:r>
          </w:p>
        </w:tc>
        <w:tc>
          <w:tcPr/>
          <w:p>
            <w:pPr>
              <w:pStyle w:val="Compact"/>
            </w:pPr>
            <w:r>
              <w:t xml:space="preserve">1.02</w:t>
            </w:r>
          </w:p>
        </w:tc>
        <w:tc>
          <w:tcPr/>
          <w:p>
            <w:pPr>
              <w:pStyle w:val="Compact"/>
            </w:pPr>
            <w:r>
              <w:t xml:space="preserve">[0.97, 1.08]</w:t>
            </w:r>
          </w:p>
        </w:tc>
        <w:tc>
          <w:tcPr/>
          <w:p>
            <w:pPr>
              <w:pStyle w:val="Compact"/>
            </w:pPr>
            <w:r>
              <w:t xml:space="preserve">.344</w:t>
            </w:r>
          </w:p>
        </w:tc>
      </w:tr>
    </w:tbl>
    <w:p>
      <w:pPr>
        <w:pStyle w:val="BodyText"/>
      </w:pPr>
      <w:r>
        <w:rPr>
          <w:i/>
          <w:iCs/>
        </w:rPr>
        <w:t xml:space="preserve">Note.</w:t>
      </w:r>
      <w:r>
        <w:t xml:space="preserve"> </w:t>
      </w:r>
      <w:r>
        <w:t xml:space="preserve">n = 1,908 (1,747 events); C-index = 0.691; time zero at the end of the age-14 season (Supplementary Table S10 note). 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t xml:space="preserve">1,501</w:t>
            </w:r>
          </w:p>
        </w:tc>
        <w:tc>
          <w:tcPr/>
          <w:p>
            <w:pPr>
              <w:pStyle w:val="Compact"/>
            </w:pPr>
            <w: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t xml:space="preserve">1,501</w:t>
            </w:r>
          </w:p>
        </w:tc>
        <w:tc>
          <w:tcPr/>
          <w:p>
            <w:pPr>
              <w:pStyle w:val="Compact"/>
            </w:pPr>
            <w: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t xml:space="preserve">1,501</w:t>
            </w:r>
          </w:p>
        </w:tc>
        <w:tc>
          <w:tcPr/>
          <w:p>
            <w:pPr>
              <w:pStyle w:val="Compact"/>
            </w:pPr>
            <w:r>
              <w:t xml:space="preserve">0.82 (±0.01)</w:t>
            </w:r>
          </w:p>
        </w:tc>
      </w:tr>
      <w:tr>
        <w:tc>
          <w:tcPr/>
          <w:p>
            <w:pPr>
              <w:pStyle w:val="Compact"/>
            </w:pPr>
            <w:r>
              <w:t xml:space="preserve">Volume + specialization (behavioral, ages 13–16)</w:t>
            </w:r>
          </w:p>
        </w:tc>
        <w:tc>
          <w:tcPr/>
          <w:p>
            <w:pPr>
              <w:pStyle w:val="Compact"/>
            </w:pPr>
            <w:r>
              <w:t xml:space="preserve">8</w:t>
            </w:r>
          </w:p>
        </w:tc>
        <w:tc>
          <w:tcPr/>
          <w:p>
            <w:pPr>
              <w:pStyle w:val="Compact"/>
            </w:pPr>
            <w:r>
              <w:t xml:space="preserve">1,501</w:t>
            </w:r>
          </w:p>
        </w:tc>
        <w:tc>
          <w:tcPr/>
          <w:p>
            <w:pPr>
              <w:pStyle w:val="Compact"/>
            </w:pPr>
            <w: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t xml:space="preserve">1,501</w:t>
            </w:r>
          </w:p>
        </w:tc>
        <w:tc>
          <w:tcPr/>
          <w:p>
            <w:pPr>
              <w:pStyle w:val="Compact"/>
            </w:pPr>
            <w:r>
              <w:t xml:space="preserve">0.83 (±0.02)</w:t>
            </w:r>
          </w:p>
        </w:tc>
      </w:tr>
    </w:tbl>
    <w:p>
      <w:pPr>
        <w:pStyle w:val="BodyText"/>
      </w:pPr>
      <w:r>
        <w:rPr>
          <w:i/>
          <w:iCs/>
        </w:rPr>
        <w:t xml:space="preserve">Note.</w:t>
      </w:r>
      <w:r>
        <w:t xml:space="preserve"> </w:t>
      </w:r>
      <w:r>
        <w:t xml:space="preserve">Descriptive comparison on the subsample with complete data on all 22 candidate predictors (n = 1,501; see Supplementary Table S12). This table includes post-baseline behavioral predictors (ages 15–16) and therefore overlaps with the early portion of the at-risk window; AUCs are descriptive rather than ordinary prospective prediction quantities. 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2,136</w:t>
            </w: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1.18</w:t>
            </w:r>
          </w:p>
        </w:tc>
        <w:tc>
          <w:tcPr/>
          <w:p>
            <w:pPr>
              <w:pStyle w:val="Compact"/>
            </w:pPr>
            <w:r>
              <w:rPr>
                <w:b/>
                <w:bCs/>
              </w:rPr>
              <w:t xml:space="preserve">[1.04, 1.33]</w:t>
            </w:r>
          </w:p>
        </w:tc>
        <w:tc>
          <w:tcPr/>
          <w:p>
            <w:pPr>
              <w:pStyle w:val="Compact"/>
            </w:pPr>
            <w:r>
              <w:rPr>
                <w:b/>
                <w:bCs/>
              </w:rPr>
              <w:t xml:space="preserve">.012</w:t>
            </w:r>
          </w:p>
        </w:tc>
      </w:tr>
      <w:tr>
        <w:tc>
          <w:tcPr/>
          <w:p>
            <w:pPr>
              <w:pStyle w:val="Compact"/>
            </w:pPr>
          </w:p>
        </w:tc>
        <w:tc>
          <w:tcPr/>
          <w:p>
            <w:pPr>
              <w:pStyle w:val="Compact"/>
            </w:pPr>
            <w:r>
              <w:t xml:space="preserve">Pre-milestone volume (z)</w:t>
            </w:r>
          </w:p>
        </w:tc>
        <w:tc>
          <w:tcPr/>
          <w:p>
            <w:pPr>
              <w:pStyle w:val="Compact"/>
            </w:pPr>
            <w:r>
              <w:t xml:space="preserve">2.04</w:t>
            </w:r>
          </w:p>
        </w:tc>
        <w:tc>
          <w:tcPr/>
          <w:p>
            <w:pPr>
              <w:pStyle w:val="Compact"/>
            </w:pPr>
            <w: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r>
      <w:tr>
        <w:tc>
          <w:tcPr/>
          <w:p>
            <w:pPr>
              <w:pStyle w:val="Compact"/>
            </w:pPr>
            <w:r>
              <w:t xml:space="preserve">n = 2,135</w:t>
            </w:r>
          </w:p>
        </w:tc>
        <w:tc>
          <w:tcPr/>
          <w:p>
            <w:pPr>
              <w:pStyle w:val="Compact"/>
            </w:pPr>
            <w:r>
              <w:t xml:space="preserve">Tyrving (z)</w:t>
            </w:r>
          </w:p>
        </w:tc>
        <w:tc>
          <w:tcPr/>
          <w:p>
            <w:pPr>
              <w:pStyle w:val="Compact"/>
            </w:pPr>
            <w:r>
              <w:t xml:space="preserve">1.17</w:t>
            </w:r>
          </w:p>
        </w:tc>
        <w:tc>
          <w:tcPr/>
          <w:p>
            <w:pPr>
              <w:pStyle w:val="Compact"/>
            </w:pPr>
            <w:r>
              <w:t xml:space="preserve">[0.92, 1.49]</w:t>
            </w:r>
          </w:p>
        </w:tc>
        <w:tc>
          <w:tcPr/>
          <w:p>
            <w:pPr>
              <w:pStyle w:val="Compact"/>
            </w:pPr>
            <w:r>
              <w:t xml:space="preserve">.193</w:t>
            </w:r>
          </w:p>
        </w:tc>
      </w:tr>
      <w:tr>
        <w:tc>
          <w:tcPr/>
          <w:p>
            <w:pPr>
              <w:pStyle w:val="Compact"/>
            </w:pPr>
          </w:p>
        </w:tc>
        <w:tc>
          <w:tcPr/>
          <w:p>
            <w:pPr>
              <w:pStyle w:val="Compact"/>
            </w:pPr>
            <w:r>
              <w:rPr>
                <w:b/>
                <w:bCs/>
              </w:rPr>
              <w:t xml:space="preserve">HHI, ages 13–14 (z)</w:t>
            </w:r>
          </w:p>
        </w:tc>
        <w:tc>
          <w:tcPr/>
          <w:p>
            <w:pPr>
              <w:pStyle w:val="Compact"/>
            </w:pPr>
            <w:r>
              <w:rPr>
                <w:b/>
                <w:bCs/>
              </w:rPr>
              <w:t xml:space="preserve">1.07</w:t>
            </w:r>
          </w:p>
        </w:tc>
        <w:tc>
          <w:tcPr/>
          <w:p>
            <w:pPr>
              <w:pStyle w:val="Compact"/>
            </w:pPr>
            <w:r>
              <w:rPr>
                <w:b/>
                <w:bCs/>
              </w:rPr>
              <w:t xml:space="preserve">[0.94, 1.23]</w:t>
            </w:r>
          </w:p>
        </w:tc>
        <w:tc>
          <w:tcPr/>
          <w:p>
            <w:pPr>
              <w:pStyle w:val="Compact"/>
            </w:pPr>
            <w:r>
              <w:rPr>
                <w:b/>
                <w:bCs/>
              </w:rPr>
              <w:t xml:space="preserve">.302</w:t>
            </w:r>
          </w:p>
        </w:tc>
      </w:tr>
      <w:tr>
        <w:tc>
          <w:tcPr/>
          <w:p>
            <w:pPr>
              <w:pStyle w:val="Compact"/>
            </w:pPr>
          </w:p>
        </w:tc>
        <w:tc>
          <w:tcPr/>
          <w:p>
            <w:pPr>
              <w:pStyle w:val="Compact"/>
            </w:pPr>
            <w:r>
              <w:t xml:space="preserve">Pre-milestone volume (z)</w:t>
            </w:r>
          </w:p>
        </w:tc>
        <w:tc>
          <w:tcPr/>
          <w:p>
            <w:pPr>
              <w:pStyle w:val="Compact"/>
            </w:pPr>
            <w:r>
              <w:t xml:space="preserve">1.84</w:t>
            </w:r>
          </w:p>
        </w:tc>
        <w:tc>
          <w:tcPr/>
          <w:p>
            <w:pPr>
              <w:pStyle w:val="Compact"/>
            </w:pPr>
            <w: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t xml:space="preserve">1.80</w:t>
            </w:r>
          </w:p>
        </w:tc>
        <w:tc>
          <w:tcPr/>
          <w:p>
            <w:pPr>
              <w:pStyle w:val="Compact"/>
            </w:pPr>
            <w:r>
              <w:t xml:space="preserve">[1.36, 2.38]</w:t>
            </w:r>
          </w:p>
        </w:tc>
        <w:tc>
          <w:tcPr/>
          <w:p>
            <w:pPr>
              <w:pStyle w:val="Compact"/>
            </w:pPr>
            <w: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t xml:space="preserve">0.56</w:t>
            </w:r>
          </w:p>
        </w:tc>
        <w:tc>
          <w:tcPr/>
          <w:p>
            <w:pPr>
              <w:pStyle w:val="Compact"/>
            </w:pPr>
            <w:r>
              <w:t xml:space="preserve">[0.44, 0.73]</w:t>
            </w:r>
          </w:p>
        </w:tc>
        <w:tc>
          <w:tcPr/>
          <w:p>
            <w:pPr>
              <w:pStyle w:val="Compact"/>
            </w:pPr>
            <w:r>
              <w:t xml:space="preserve">&lt; .001</w:t>
            </w:r>
          </w:p>
        </w:tc>
      </w:tr>
      <w:tr>
        <w:tc>
          <w:tcPr/>
          <w:p>
            <w:pPr>
              <w:pStyle w:val="Compact"/>
            </w:pPr>
            <w:r>
              <w:t xml:space="preserve">n = 2,135</w:t>
            </w:r>
          </w:p>
        </w:tc>
        <w:tc>
          <w:tcPr/>
          <w:p>
            <w:pPr>
              <w:pStyle w:val="Compact"/>
            </w:pPr>
            <w:r>
              <w:t xml:space="preserve">Tyrving main category (z)</w:t>
            </w:r>
          </w:p>
        </w:tc>
        <w:tc>
          <w:tcPr/>
          <w:p>
            <w:pPr>
              <w:pStyle w:val="Compact"/>
            </w:pPr>
            <w:r>
              <w:t xml:space="preserve">2.06</w:t>
            </w:r>
          </w:p>
        </w:tc>
        <w:tc>
          <w:tcPr/>
          <w:p>
            <w:pPr>
              <w:pStyle w:val="Compact"/>
            </w:pPr>
            <w:r>
              <w:t xml:space="preserve">[1.70, 2.51]</w:t>
            </w:r>
          </w:p>
        </w:tc>
        <w:tc>
          <w:tcPr/>
          <w:p>
            <w:pPr>
              <w:pStyle w:val="Compact"/>
            </w:pPr>
            <w:r>
              <w:t xml:space="preserve">&lt; .001</w:t>
            </w:r>
          </w:p>
        </w:tc>
      </w:tr>
      <w:tr>
        <w:tc>
          <w:tcPr/>
          <w:p>
            <w:pPr>
              <w:pStyle w:val="Compact"/>
            </w:pPr>
          </w:p>
        </w:tc>
        <w:tc>
          <w:tcPr/>
          <w:p>
            <w:pPr>
              <w:pStyle w:val="Compact"/>
            </w:pPr>
            <w:r>
              <w:rPr>
                <w:b/>
                <w:bCs/>
              </w:rPr>
              <w:t xml:space="preserve">HHI, ages 13–14 (z)</w:t>
            </w:r>
          </w:p>
        </w:tc>
        <w:tc>
          <w:tcPr/>
          <w:p>
            <w:pPr>
              <w:pStyle w:val="Compact"/>
            </w:pPr>
            <w:r>
              <w:rPr>
                <w:b/>
                <w:bCs/>
              </w:rPr>
              <w:t xml:space="preserve">1.06</w:t>
            </w:r>
          </w:p>
        </w:tc>
        <w:tc>
          <w:tcPr/>
          <w:p>
            <w:pPr>
              <w:pStyle w:val="Compact"/>
            </w:pPr>
            <w:r>
              <w:rPr>
                <w:b/>
                <w:bCs/>
              </w:rPr>
              <w:t xml:space="preserve">[0.93, 1.21]</w:t>
            </w:r>
          </w:p>
        </w:tc>
        <w:tc>
          <w:tcPr/>
          <w:p>
            <w:pPr>
              <w:pStyle w:val="Compact"/>
            </w:pPr>
            <w:r>
              <w:rPr>
                <w:b/>
                <w:bCs/>
              </w:rPr>
              <w:t xml:space="preserve">.390</w:t>
            </w:r>
          </w:p>
        </w:tc>
      </w:tr>
      <w:tr>
        <w:tc>
          <w:tcPr/>
          <w:p>
            <w:pPr>
              <w:pStyle w:val="Compact"/>
            </w:pPr>
          </w:p>
        </w:tc>
        <w:tc>
          <w:tcPr/>
          <w:p>
            <w:pPr>
              <w:pStyle w:val="Compact"/>
            </w:pPr>
            <w:r>
              <w:t xml:space="preserve">Pre-milestone volume (z)</w:t>
            </w:r>
          </w:p>
        </w:tc>
        <w:tc>
          <w:tcPr/>
          <w:p>
            <w:pPr>
              <w:pStyle w:val="Compact"/>
            </w:pPr>
            <w:r>
              <w:t xml:space="preserve">1.83</w:t>
            </w:r>
          </w:p>
        </w:tc>
        <w:tc>
          <w:tcPr/>
          <w:p>
            <w:pPr>
              <w:pStyle w:val="Compact"/>
            </w:pPr>
            <w: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 0.02; HHI vs. Tyrving main category, r = 0.12; Tyrving best vs. Tyrving main, r = 0.78. The HHI coefficient is not stable across the three specifications (OR 1.06–1.18; 1.07 [0.94, 1.23] once main-category Tyrving is added); main-category Tyrving has an independent association (OR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t xml:space="preserve">1,146</w:t>
            </w:r>
          </w:p>
        </w:tc>
      </w:tr>
      <w:tr>
        <w:tc>
          <w:tcPr/>
          <w:p>
            <w:pPr>
              <w:pStyle w:val="Compact"/>
            </w:pPr>
            <w:r>
              <w:t xml:space="preserve">Reduced-but-nonzero penultimate season (final age ≥16)</w:t>
            </w:r>
          </w:p>
        </w:tc>
        <w:tc>
          <w:tcPr/>
          <w:p>
            <w:pPr>
              <w:pStyle w:val="Compact"/>
            </w:pPr>
            <w:r>
              <w:t xml:space="preserve">73.9%</w:t>
            </w:r>
          </w:p>
        </w:tc>
        <w:tc>
          <w:tcPr/>
          <w:p>
            <w:pPr>
              <w:pStyle w:val="Compact"/>
            </w:pPr>
            <w: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t xml:space="preserve">800</w:t>
            </w:r>
          </w:p>
        </w:tc>
      </w:tr>
      <w:tr>
        <w:tc>
          <w:tcPr/>
          <w:p>
            <w:pPr>
              <w:pStyle w:val="Compact"/>
            </w:pPr>
            <w:r>
              <w:t xml:space="preserve">Penultimate at personal peak (abrupt profile)</w:t>
            </w:r>
          </w:p>
        </w:tc>
        <w:tc>
          <w:tcPr/>
          <w:p>
            <w:pPr>
              <w:pStyle w:val="Compact"/>
            </w:pPr>
            <w:r>
              <w:t xml:space="preserve">19.6%</w:t>
            </w:r>
          </w:p>
        </w:tc>
        <w:tc>
          <w:tcPr/>
          <w:p>
            <w:pPr>
              <w:pStyle w:val="Compact"/>
            </w:pPr>
            <w:r>
              <w:t xml:space="preserve">800</w:t>
            </w:r>
          </w:p>
        </w:tc>
      </w:tr>
      <w:tr>
        <w:tc>
          <w:tcPr/>
          <w:p>
            <w:pPr>
              <w:pStyle w:val="Compact"/>
            </w:pPr>
            <w:r>
              <w:t xml:space="preserve">Volume in final season below personal peak</w:t>
            </w:r>
          </w:p>
        </w:tc>
        <w:tc>
          <w:tcPr/>
          <w:p>
            <w:pPr>
              <w:pStyle w:val="Compact"/>
            </w:pPr>
            <w:r>
              <w:t xml:space="preserve">93.3%</w:t>
            </w:r>
          </w:p>
        </w:tc>
        <w:tc>
          <w:tcPr/>
          <w:p>
            <w:pPr>
              <w:pStyle w:val="Compact"/>
            </w:pPr>
            <w:r>
              <w:t xml:space="preserve">1,146</w:t>
            </w:r>
          </w:p>
        </w:tc>
      </w:tr>
      <w:tr>
        <w:tc>
          <w:tcPr/>
          <w:p>
            <w:pPr>
              <w:pStyle w:val="Compact"/>
            </w:pPr>
            <w:r>
              <w:t xml:space="preserve">Change model among active at 16: volume at 15 (per SD)</w:t>
            </w:r>
          </w:p>
        </w:tc>
        <w:tc>
          <w:tcPr/>
          <w:p>
            <w:pPr>
              <w:pStyle w:val="Compact"/>
            </w:pPr>
            <w:r>
              <w:t xml:space="preserve">OR 3.04 [2.56, 3.62]</w:t>
            </w:r>
          </w:p>
        </w:tc>
        <w:tc>
          <w:tcPr/>
          <w:p>
            <w:pPr>
              <w:pStyle w:val="Compact"/>
            </w:pPr>
            <w:r>
              <w:t xml:space="preserve">1,088</w:t>
            </w:r>
          </w:p>
        </w:tc>
      </w:tr>
      <w:tr>
        <w:tc>
          <w:tcPr/>
          <w:p>
            <w:pPr>
              <w:pStyle w:val="Compact"/>
            </w:pPr>
            <w:r>
              <w:t xml:space="preserve">Change model among active at 16: change 15→16 (per SD increase)</w:t>
            </w:r>
          </w:p>
        </w:tc>
        <w:tc>
          <w:tcPr/>
          <w:p>
            <w:pPr>
              <w:pStyle w:val="Compact"/>
            </w:pPr>
            <w:r>
              <w:t xml:space="preserve">OR 1.87 [1.60, 2.19]</w:t>
            </w:r>
          </w:p>
        </w:tc>
        <w:tc>
          <w:tcPr/>
          <w:p>
            <w:pPr>
              <w:pStyle w:val="Compact"/>
            </w:pPr>
            <w:r>
              <w:t xml:space="preserve">1,088</w:t>
            </w:r>
          </w:p>
        </w:tc>
      </w:tr>
      <w:tr>
        <w:tc>
          <w:tcPr/>
          <w:p>
            <w:pPr>
              <w:pStyle w:val="Compact"/>
            </w:pPr>
            <w:r>
              <w:t xml:space="preserve">Change model among active at 16: change 15→16 (per SD decline)</w:t>
            </w:r>
          </w:p>
        </w:tc>
        <w:tc>
          <w:tcPr/>
          <w:p>
            <w:pPr>
              <w:pStyle w:val="Compact"/>
            </w:pPr>
            <w:r>
              <w:t xml:space="preserve">OR 0.54 [0.46, 0.63]</w:t>
            </w:r>
          </w:p>
        </w:tc>
        <w:tc>
          <w:tcPr/>
          <w:p>
            <w:pPr>
              <w:pStyle w:val="Compact"/>
            </w:pPr>
            <w: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 1,146; 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 0.762; change = volume at 16 minus volume at 15); 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t xml:space="preserve">2,136</w:t>
            </w:r>
          </w:p>
        </w:tc>
        <w:tc>
          <w:tcPr/>
          <w:p>
            <w:pPr>
              <w:pStyle w:val="Compact"/>
            </w:pPr>
            <w:r>
              <w:t xml:space="preserve">1.18 [1.04, 1.34]</w:t>
            </w:r>
          </w:p>
        </w:tc>
        <w:tc>
          <w:tcPr/>
          <w:p>
            <w:pPr>
              <w:pStyle w:val="Compact"/>
            </w:pPr>
            <w:r>
              <w:t xml:space="preserve">2.04</w:t>
            </w:r>
          </w:p>
        </w:tc>
      </w:tr>
      <w:tr>
        <w:tc>
          <w:tcPr/>
          <w:p>
            <w:pPr>
              <w:pStyle w:val="Compact"/>
            </w:pPr>
            <w:r>
              <w:t xml:space="preserve">≥ 5 results at ages 13-14</w:t>
            </w:r>
          </w:p>
        </w:tc>
        <w:tc>
          <w:tcPr/>
          <w:p>
            <w:pPr>
              <w:pStyle w:val="Compact"/>
            </w:pPr>
            <w:r>
              <w:t xml:space="preserve">2,053</w:t>
            </w:r>
          </w:p>
        </w:tc>
        <w:tc>
          <w:tcPr/>
          <w:p>
            <w:pPr>
              <w:pStyle w:val="Compact"/>
            </w:pPr>
            <w:r>
              <w:t xml:space="preserve">1.17 [1.04, 1.33]</w:t>
            </w:r>
          </w:p>
        </w:tc>
        <w:tc>
          <w:tcPr/>
          <w:p>
            <w:pPr>
              <w:pStyle w:val="Compact"/>
            </w:pPr>
            <w:r>
              <w:t xml:space="preserve">2.03</w:t>
            </w:r>
          </w:p>
        </w:tc>
      </w:tr>
      <w:tr>
        <w:tc>
          <w:tcPr/>
          <w:p>
            <w:pPr>
              <w:pStyle w:val="Compact"/>
            </w:pPr>
            <w:r>
              <w:t xml:space="preserve">≥ 8 results at ages 13-14</w:t>
            </w:r>
          </w:p>
        </w:tc>
        <w:tc>
          <w:tcPr/>
          <w:p>
            <w:pPr>
              <w:pStyle w:val="Compact"/>
            </w:pPr>
            <w:r>
              <w:t xml:space="preserve">1,905</w:t>
            </w:r>
          </w:p>
        </w:tc>
        <w:tc>
          <w:tcPr/>
          <w:p>
            <w:pPr>
              <w:pStyle w:val="Compact"/>
            </w:pPr>
            <w:r>
              <w:t xml:space="preserve">1.17 [1.03, 1.32]</w:t>
            </w:r>
          </w:p>
        </w:tc>
        <w:tc>
          <w:tcPr/>
          <w:p>
            <w:pPr>
              <w:pStyle w:val="Compact"/>
            </w:pPr>
            <w:r>
              <w:t xml:space="preserve">2.00</w:t>
            </w:r>
          </w:p>
        </w:tc>
      </w:tr>
      <w:tr>
        <w:tc>
          <w:tcPr/>
          <w:p>
            <w:pPr>
              <w:pStyle w:val="Compact"/>
            </w:pPr>
            <w:r>
              <w:t xml:space="preserve">Finite-sample-corrected HHI* = (HHI - 1/n)/(1 - 1/n)</w:t>
            </w:r>
          </w:p>
        </w:tc>
        <w:tc>
          <w:tcPr/>
          <w:p>
            <w:pPr>
              <w:pStyle w:val="Compact"/>
            </w:pPr>
            <w:r>
              <w:t xml:space="preserve">2,124</w:t>
            </w:r>
          </w:p>
        </w:tc>
        <w:tc>
          <w:tcPr/>
          <w:p>
            <w:pPr>
              <w:pStyle w:val="Compact"/>
            </w:pPr>
            <w:r>
              <w:t xml:space="preserve">1.20 [1.05, 1.35]</w:t>
            </w:r>
          </w:p>
        </w:tc>
        <w:tc>
          <w:tcPr/>
          <w:p>
            <w:pPr>
              <w:pStyle w:val="Compact"/>
            </w:pPr>
            <w:r>
              <w:t xml:space="preserve">2.01</w:t>
            </w:r>
          </w:p>
        </w:tc>
      </w:tr>
    </w:tbl>
    <w:p>
      <w:pPr>
        <w:pStyle w:val="BodyText"/>
      </w:pPr>
      <w:r>
        <w:rPr>
          <w:i/>
          <w:iCs/>
        </w:rPr>
        <w:t xml:space="preserve">Note.</w:t>
      </w:r>
      <w:r>
        <w:t xml:space="preserve"> </w:t>
      </w:r>
      <w:r>
        <w:t xml:space="preserve">HHI computed from results at ages 13–14. Spearman correlations: HHI vs. result count at ages 13–14 ρ = -0.40; HHI vs. pre-milestone volume ρ = -0.22. 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 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t xml:space="preserve">0.27</w:t>
            </w:r>
          </w:p>
        </w:tc>
        <w:tc>
          <w:tcPr/>
          <w:p>
            <w:pPr>
              <w:pStyle w:val="Compact"/>
            </w:pPr>
            <w:r>
              <w:t xml:space="preserve">2,136 athletes, 287 clubs</w:t>
            </w:r>
          </w:p>
        </w:tc>
      </w:tr>
      <w:tr>
        <w:tc>
          <w:tcPr/>
          <w:p>
            <w:pPr>
              <w:pStyle w:val="Compact"/>
            </w:pPr>
            <w:r>
              <w:t xml:space="preserve">Volume OR, primary (no club terms)</w:t>
            </w:r>
          </w:p>
        </w:tc>
        <w:tc>
          <w:tcPr/>
          <w:p>
            <w:pPr>
              <w:pStyle w:val="Compact"/>
            </w:pPr>
            <w:r>
              <w:t xml:space="preserve">2.04</w:t>
            </w:r>
          </w:p>
        </w:tc>
        <w:tc>
          <w:tcPr/>
          <w:p>
            <w:pPr>
              <w:pStyle w:val="Compact"/>
            </w:pPr>
            <w:r>
              <w:t xml:space="preserve">2,136</w:t>
            </w:r>
          </w:p>
        </w:tc>
      </w:tr>
      <w:tr>
        <w:tc>
          <w:tcPr/>
          <w:p>
            <w:pPr>
              <w:pStyle w:val="Compact"/>
            </w:pPr>
            <w:r>
              <w:t xml:space="preserve">Volume OR, club random intercepts (variational Bayes)</w:t>
            </w:r>
          </w:p>
        </w:tc>
        <w:tc>
          <w:tcPr/>
          <w:p>
            <w:pPr>
              <w:pStyle w:val="Compact"/>
            </w:pPr>
            <w:r>
              <w:t xml:space="preserve">2.10 [1.88, 2.34]</w:t>
            </w:r>
          </w:p>
        </w:tc>
        <w:tc>
          <w:tcPr/>
          <w:p>
            <w:pPr>
              <w:pStyle w:val="Compact"/>
            </w:pPr>
            <w:r>
              <w:t xml:space="preserve">2,136</w:t>
            </w:r>
          </w:p>
        </w:tc>
      </w:tr>
      <w:tr>
        <w:tc>
          <w:tcPr/>
          <w:p>
            <w:pPr>
              <w:pStyle w:val="Compact"/>
            </w:pPr>
            <w:r>
              <w:t xml:space="preserve">HHI OR, club random intercepts (variational Bayes)</w:t>
            </w:r>
          </w:p>
        </w:tc>
        <w:tc>
          <w:tcPr/>
          <w:p>
            <w:pPr>
              <w:pStyle w:val="Compact"/>
            </w:pPr>
            <w:r>
              <w:t xml:space="preserve">1.17</w:t>
            </w:r>
          </w:p>
        </w:tc>
        <w:tc>
          <w:tcPr/>
          <w:p>
            <w:pPr>
              <w:pStyle w:val="Compact"/>
            </w:pPr>
            <w:r>
              <w:t xml:space="preserve">2,136</w:t>
            </w:r>
          </w:p>
        </w:tc>
      </w:tr>
      <w:tr>
        <w:tc>
          <w:tcPr/>
          <w:p>
            <w:pPr>
              <w:pStyle w:val="Compact"/>
            </w:pPr>
            <w:r>
              <w:t xml:space="preserve">Volume OR, club-clustered standard errors</w:t>
            </w:r>
          </w:p>
        </w:tc>
        <w:tc>
          <w:tcPr/>
          <w:p>
            <w:pPr>
              <w:pStyle w:val="Compact"/>
            </w:pPr>
            <w:r>
              <w:t xml:space="preserve">2.04 [1.75, 2.39]</w:t>
            </w:r>
          </w:p>
        </w:tc>
        <w:tc>
          <w:tcPr/>
          <w:p>
            <w:pPr>
              <w:pStyle w:val="Compact"/>
            </w:pPr>
            <w:r>
              <w:t xml:space="preserve">2,136</w:t>
            </w:r>
          </w:p>
        </w:tc>
      </w:tr>
      <w:tr>
        <w:tc>
          <w:tcPr/>
          <w:p>
            <w:pPr>
              <w:pStyle w:val="Compact"/>
            </w:pPr>
            <w:r>
              <w:t xml:space="preserve">Volume OR, population-averaged GEE (exchangeable within club)</w:t>
            </w:r>
          </w:p>
        </w:tc>
        <w:tc>
          <w:tcPr/>
          <w:p>
            <w:pPr>
              <w:pStyle w:val="Compact"/>
            </w:pPr>
            <w:r>
              <w:t xml:space="preserve">2.03 [1.74, 2.38]; within-club correlation −0.003</w:t>
            </w:r>
          </w:p>
        </w:tc>
        <w:tc>
          <w:tcPr/>
          <w:p>
            <w:pPr>
              <w:pStyle w:val="Compact"/>
            </w:pPr>
            <w:r>
              <w:t xml:space="preserve">2,136</w:t>
            </w:r>
          </w:p>
        </w:tc>
      </w:tr>
      <w:tr>
        <w:tc>
          <w:tcPr/>
          <w:p>
            <w:pPr>
              <w:pStyle w:val="Compact"/>
            </w:pPr>
            <w:r>
              <w:t xml:space="preserve">CV-AUC, folds grouped by club (20 repeats)</w:t>
            </w:r>
          </w:p>
        </w:tc>
        <w:tc>
          <w:tcPr/>
          <w:p>
            <w:pPr>
              <w:pStyle w:val="Compact"/>
            </w:pPr>
            <w:r>
              <w:t xml:space="preserve">0.766 [0.735, 0.797]</w:t>
            </w:r>
          </w:p>
        </w:tc>
        <w:tc>
          <w:tcPr/>
          <w:p>
            <w:pPr>
              <w:pStyle w:val="Compact"/>
            </w:pPr>
            <w: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 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 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t xml:space="preserve">0.98</w:t>
            </w:r>
          </w:p>
        </w:tc>
      </w:tr>
      <w:tr>
        <w:tc>
          <w:tcPr/>
          <w:p>
            <w:pPr>
              <w:pStyle w:val="Compact"/>
            </w:pPr>
            <w:r>
              <w:t xml:space="preserve">Calibration-in-the-large</w:t>
            </w:r>
          </w:p>
        </w:tc>
        <w:tc>
          <w:tcPr/>
          <w:p>
            <w:pPr>
              <w:pStyle w:val="Compact"/>
            </w:pPr>
            <w:r>
              <w:t xml:space="preserve">0.00</w:t>
            </w:r>
          </w:p>
        </w:tc>
      </w:tr>
      <w:tr>
        <w:tc>
          <w:tcPr/>
          <w:p>
            <w:pPr>
              <w:pStyle w:val="Compact"/>
            </w:pPr>
            <w:r>
              <w:t xml:space="preserve">Brier score</w:t>
            </w:r>
          </w:p>
        </w:tc>
        <w:tc>
          <w:tcPr/>
          <w:p>
            <w:pPr>
              <w:pStyle w:val="Compact"/>
            </w:pPr>
            <w:r>
              <w:t xml:space="preserve">0.117</w:t>
            </w:r>
          </w:p>
        </w:tc>
      </w:tr>
      <w:tr>
        <w:tc>
          <w:tcPr/>
          <w:p>
            <w:pPr>
              <w:pStyle w:val="Compact"/>
            </w:pPr>
            <w:r>
              <w:t xml:space="preserve">n</w:t>
            </w:r>
          </w:p>
        </w:tc>
        <w:tc>
          <w:tcPr/>
          <w:p>
            <w:pPr>
              <w:pStyle w:val="Compact"/>
            </w:pPr>
            <w:r>
              <w:t xml:space="preserve">2,136</w:t>
            </w:r>
          </w:p>
        </w:tc>
      </w:tr>
    </w:tbl>
    <w:p>
      <w:pPr>
        <w:pStyle w:val="BodyText"/>
      </w:pPr>
      <w:r>
        <w:rPr>
          <w:i/>
          <w:iCs/>
        </w:rPr>
        <w:t xml:space="preserve">Note.</w:t>
      </w:r>
      <w:r>
        <w:t xml:space="preserve"> </w:t>
      </w:r>
      <w: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t xml:space="preserve">0.165</w:t>
            </w:r>
          </w:p>
        </w:tc>
        <w:tc>
          <w:tcPr/>
          <w:p>
            <w:pPr>
              <w:pStyle w:val="Compact"/>
            </w:pPr>
            <w:r>
              <w:t xml:space="preserve">2.08 [1.83, 2.37]</w:t>
            </w:r>
          </w:p>
        </w:tc>
        <w:tc>
          <w:tcPr/>
          <w:p>
            <w:pPr>
              <w:pStyle w:val="Compact"/>
            </w:pPr>
            <w:r>
              <w:t xml:space="preserve">0.773</w:t>
            </w:r>
          </w:p>
        </w:tc>
        <w:tc>
          <w:tcPr/>
          <w:p>
            <w:pPr>
              <w:pStyle w:val="Compact"/>
            </w:pPr>
            <w: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 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t xml:space="preserve">16.2%</w:t>
            </w:r>
          </w:p>
        </w:tc>
        <w:tc>
          <w:tcPr/>
          <w:p>
            <w:pPr>
              <w:pStyle w:val="Compact"/>
            </w:pPr>
            <w:r>
              <w:t xml:space="preserve">50.0%</w:t>
            </w:r>
          </w:p>
        </w:tc>
      </w:tr>
      <w:tr>
        <w:tc>
          <w:tcPr/>
          <w:p>
            <w:pPr>
              <w:pStyle w:val="Compact"/>
            </w:pPr>
            <w:r>
              <w:t xml:space="preserve">Female</w:t>
            </w:r>
          </w:p>
        </w:tc>
        <w:tc>
          <w:tcPr/>
          <w:p>
            <w:pPr>
              <w:pStyle w:val="Compact"/>
            </w:pPr>
            <w:r>
              <w:t xml:space="preserve">52.9%</w:t>
            </w:r>
          </w:p>
        </w:tc>
        <w:tc>
          <w:tcPr/>
          <w:p>
            <w:pPr>
              <w:pStyle w:val="Compact"/>
            </w:pPr>
            <w: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t xml:space="preserve">12.5</w:t>
            </w:r>
          </w:p>
        </w:tc>
      </w:tr>
      <w:tr>
        <w:tc>
          <w:tcPr/>
          <w:p>
            <w:pPr>
              <w:pStyle w:val="Compact"/>
            </w:pPr>
            <w:r>
              <w:t xml:space="preserve">HHI, ages 13–14 (mean)</w:t>
            </w:r>
          </w:p>
        </w:tc>
        <w:tc>
          <w:tcPr/>
          <w:p>
            <w:pPr>
              <w:pStyle w:val="Compact"/>
            </w:pPr>
            <w:r>
              <w:t xml:space="preserve">0.46</w:t>
            </w:r>
          </w:p>
        </w:tc>
        <w:tc>
          <w:tcPr/>
          <w:p>
            <w:pPr>
              <w:pStyle w:val="Compact"/>
            </w:pPr>
            <w:r>
              <w:t xml:space="preserve">0.40</w:t>
            </w:r>
          </w:p>
        </w:tc>
      </w:tr>
    </w:tbl>
    <w:p>
      <w:pPr>
        <w:pStyle w:val="BodyText"/>
      </w:pPr>
      <w:r>
        <w:rPr>
          <w:i/>
          <w:iCs/>
        </w:rPr>
        <w:t xml:space="preserve">Note.</w:t>
      </w:r>
      <w:r>
        <w:t xml:space="preserve"> </w:t>
      </w:r>
      <w:r>
        <w:t xml:space="preserve">n = 2,136 included, 2 excluded (2 without registered sex, 0 without a baseline Tyrving score). The excluded athletes are too few to affect the estimates; multiple imputation gives identical results (Supplementary Table S21).</w:t>
      </w:r>
    </w:p>
    <w:p>
      <w:r>
        <w:pict>
          <v:rect style="width:0;height:1.5pt" o:hralign="center" o:hrstd="t" o:hr="t"/>
        </w:pict>
      </w:r>
    </w:p>
    <w:bookmarkEnd w:id="48"/>
    <w:bookmarkStart w:id="49" w:name="X5b301730d0444a2796bed428c3687a16178aacd"/>
    <w:p>
      <w:pPr>
        <w:pStyle w:val="Heading2"/>
      </w:pPr>
      <w:r>
        <w:t xml:space="preserve">Table S26. 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 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 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 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 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 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 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 Participation in the baseline meet was identified by venue and date (Supplementary Methods S-M12). Boundary birth years 1997 and 2003 were excluded because they had only one possible eligible edition in the cohort window. Athletes who attended both the 13-year-old and 14-year-old editions were deduplicated, with the earlier edition used as baseline. Complete-case analysis used 2,136 of 2,138 athletes; the 2 athletes without registered sex were excluded (Supplementary Methods S-M3).</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 0.66, p = 0.42.</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 drawn from the estimates in Table 5.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2026-10-02T12:55:23Z</dcterms:created>
  <dcterms:modified xsi:type="dcterms:W3CDTF">2026-10-02T12:55:23Z</dcterms:modified>
</cp:coreProperties>
</file>

<file path=docProps/custom.xml><?xml version="1.0" encoding="utf-8"?>
<Properties xmlns="http://schemas.openxmlformats.org/officeDocument/2006/custom-properties" xmlns:vt="http://schemas.openxmlformats.org/officeDocument/2006/docPropsVTypes"/>
</file>