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 (Espedalen &amp; Seippel, 2024).</w:t>
      </w:r>
    </w:p>
    <w:p>
      <w:pPr>
        <w:pStyle w:val="BodyText"/>
      </w:pPr>
      <w:r>
        <w:t xml:space="preserve">Groups of athletes also appear to differ in how they respond when competitive demands increase. Norwegian participation research documents strong variation in involvement: training investment varies widely (Bakken, 2019), and a significant minority hold</w:t>
      </w:r>
      <w:r>
        <w:t xml:space="preserve"> </w:t>
      </w:r>
      <w:r>
        <w:t xml:space="preserve">“heavy”</w:t>
      </w:r>
      <w:r>
        <w:t xml:space="preserve"> </w:t>
      </w:r>
      <w:r>
        <w:t xml:space="preserve">involvement motives — intense love of the game or career pursuits —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 (Espedalen, 2025). The Sport Commitment Model’s distinction between enthusiastic and constrained commitment gives such divergent responses a theoretical basis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studies correlates of dropout and development — relative age effects (Cobley et al., 2009), specialization (DiFiori et al., 2014; Jayanthi et al., 2015; Côté &amp; Hancock, 2016; Güllich et al., 2022) — and studies of proximal psychological constructs such as burnout, motivation, and peer relations (Kuokkanen et al., 2026; Worley &amp; Smith, 2026; Zhong et al., 2026); prospective predictors of adolescent team-sport dropout have been meta-analyzed (Back et al., 2022), and in athletics, rankings databases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heavily and lightly involved participants are expected to respond differently to rising competitive demands (Espedalen, 2025;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 occasional invitational regional-team matches for 14–15-year-olds —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Supplementary Table S8), and a post-baseline specification interpreted with overlap caveats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 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 (Espedalen &amp; Seippel, 2024);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 (Wall &amp; Côté, 2007).</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 the developmentally appropriate transitions that Battaglia et al. (2024) argue the dropout-as-crisis framing wrongly pathologizes. The register cannot separate the two, and the reallocation share is unbounded in our data. Norwegian participation research is compatible with both: involvement is strongly stratified, from heavy to light (Bakken, 2019; Espedalen, 2025),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w:t>
      </w:r>
      <w:r>
        <w:t xml:space="preserve">— sampling versus single-sport specialization and its consequences for elite performance and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 withdrawn athletes are hard to recruit, and retrospective accounts compress a continuous process into a remembered decision — by providing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 (Scanlan et al., 1993, 2016). 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 (Enoksen, 2011), 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Lover og regler</w:t>
      </w:r>
      <w:r>
        <w:t xml:space="preserve"> </w:t>
      </w:r>
      <w:r>
        <w:t xml:space="preserve">[Laws and regulations]. https://www.friidrett.no/om-nfif/lover/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2026-08-25T15:21:15Z</dcterms:created>
  <dcterms:modified xsi:type="dcterms:W3CDTF">2026-08-25T15:21:15Z</dcterms:modified>
</cp:coreProperties>
</file>

<file path=docProps/custom.xml><?xml version="1.0" encoding="utf-8"?>
<Properties xmlns="http://schemas.openxmlformats.org/officeDocument/2006/custom-properties" xmlns:vt="http://schemas.openxmlformats.org/officeDocument/2006/docPropsVTypes"/>
</file>