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robust to structural controls and club random effects, and replicated across two adjacent birth cohorts. Exit-aligned trajectories showed that withdrawal was gradual for most athletes: median volume fell 12 → 10 → 9 → 4 meets across dropouts’ last four seasons, 74% of those leaving at 16 or later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 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 intense love of the game or career pursuits —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 relative age effects,</w:t>
      </w:r>
      <w:r>
        <w:rPr>
          <w:vertAlign w:val="superscript"/>
        </w:rPr>
        <w:t xml:space="preserve">15</w:t>
      </w:r>
      <w:r>
        <w:t xml:space="preserve"> </w:t>
      </w:r>
      <w:r>
        <w:t xml:space="preserve">specialization</w:t>
      </w:r>
      <w:r>
        <w:rPr>
          <w:vertAlign w:val="superscript"/>
        </w:rPr>
        <w:t xml:space="preserve">16–19</w:t>
      </w:r>
      <w:r>
        <w:t xml:space="preserve"> </w:t>
      </w:r>
      <w:r>
        <w:t xml:space="preserve">— 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 occasional invitational regional-team matches for 14–15-year-olds —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regardless of club transfers (27.8% recorded results for two or more clubs), so changing club does not register as dropout.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rPr>
          <w:vertAlign w:val="superscript"/>
        </w:rPr>
        <w:t xml:space="preserve">28</w:t>
      </w:r>
      <w:r>
        <w:t xml:space="preserve"> </w:t>
      </w:r>
      <w:r>
        <w:t xml:space="preserve">with a baseline-only primary specification (Supplementary Table S16), a landmark analysis among athletes active at age 16 (van Houwelingen, 2007; Supplementary Table S8), and a post-baseline specification interpreted with overlap caveats (Table 5).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Supplementary Table S4) shows the design could detect hazard ratios ≥1.07 and odds ratios ≥1.20 per SD — well below effect sizes typical of prior dropout research.</w:t>
      </w:r>
      <w:r>
        <w:rPr>
          <w:vertAlign w:val="superscript"/>
        </w:rPr>
        <w:t xml:space="preserve">23</w:t>
      </w:r>
      <w:r>
        <w:t xml:space="preserve"> </w:t>
      </w:r>
      <w:r>
        <w:t xml:space="preserve">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(medians in Table 2): half the cohort ceased active competition within 3 years, 75% within 5, steepest at age 17 —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volume variance lies between clubs (ICC = 0.25, 277 clubs), but with club random intercepts the coefficient was, if anything, larger (OR = 2.58, 95% CI [2.27, 2.93]; Supplementary Table S22): the association holds within clubs.</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6.5%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(diagnostics and descriptive companions: Supplementary Tables S1, S6, S10, S17; Supplementary Figures S1, S4). The baseline-start Cox model with post-baseline covariates is not a primary estimate (predictor and at-risk window overlap); its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PPV partly reflects the 84% base rate (~10-point precision gain), and NPV = 0.20 means unflagged athletes are</w:t>
      </w:r>
      <w:r>
        <w:t xml:space="preserve"> </w:t>
      </w:r>
      <w:r>
        <w:rPr>
          <w:i/>
          <w:iCs/>
        </w:rPr>
        <w:t xml:space="preserve">not</w:t>
      </w:r>
      <w:r>
        <w:t xml:space="preserve"> </w:t>
      </w:r>
      <w:r>
        <w:t xml:space="preserve">“safe”</w:t>
      </w:r>
      <w:r>
        <w:t xml:space="preserve"> </w:t>
      </w:r>
      <w:r>
        <w:t xml:space="preserve">— four in five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1/(result count),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w:t>
      </w:r>
    </w:p>
    <w:p>
      <w:pPr>
        <w:pStyle w:val="BodyText"/>
      </w:pPr>
      <w:r>
        <w:t xml:space="preserve">[</w:t>
      </w:r>
      <w:r>
        <w:rPr>
          <w:b/>
          <w:bCs/>
        </w:rPr>
        <w:t xml:space="preserve">Table 7 about here</w:t>
      </w:r>
      <w:r>
        <w:t xml:space="preserve">] On the primary specification, the effect was robust to outcome definition (OR = 2.29, 2.40, 2.26 across the three definitions; Supplementary Table S9), to the fixed-window outcome (ages 20–22: OR = 2.43; Supplementary Table S24), to multiple imputation (OR = 2.34, 95% CI [2.07, 2.66];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w:t>
      </w:r>
      <w:r>
        <w:t xml:space="preserve">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46"/>
    <w:bookmarkStart w:id="47"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t xml:space="preserve">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w:t>
      </w:r>
      <w:r>
        <w:rPr>
          <w:vertAlign w:val="superscript"/>
        </w:rPr>
        <w:t xml:space="preserve">35</w:t>
      </w:r>
      <w:r>
        <w:t xml:space="preserve"> </w:t>
      </w:r>
      <w:r>
        <w:t xml:space="preserve">Declining volume years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 the developmentally appropriate transitions that Battaglia et al.</w:t>
      </w:r>
      <w:r>
        <w:rPr>
          <w:vertAlign w:val="superscript"/>
        </w:rPr>
        <w:t xml:space="preserve">4</w:t>
      </w:r>
      <w:r>
        <w:t xml:space="preserve"> </w:t>
      </w:r>
      <w:r>
        <w:t xml:space="preserve">argue the dropout-as-crisis framing wrongly pathologizes. The register cannot separate the two, and the reallocation share is unbounded in our data. Norwegian participation research is compatible with both: 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0.60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0.43) and females (HR = 0.45),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concerns diversification</w:t>
      </w:r>
      <w:r>
        <w:t xml:space="preserve"> </w:t>
      </w:r>
      <w:r>
        <w:rPr>
          <w:i/>
          <w:iCs/>
        </w:rPr>
        <w:t xml:space="preserve">across sports</w:t>
      </w:r>
      <w:r>
        <w:t xml:space="preserve"> </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w:t>
      </w:r>
      <w:r>
        <w:rPr>
          <w:vertAlign w:val="superscript"/>
        </w:rPr>
        <w:t xml:space="preserve">36</w:t>
      </w:r>
      <w:r>
        <w:t xml:space="preserve"> </w:t>
      </w:r>
      <w:r>
        <w:t xml:space="preserve">and blanket condemnation of early specialization has been argued to outrun the evidence</w:t>
      </w:r>
      <w:r>
        <w:rPr>
          <w:vertAlign w:val="superscript"/>
        </w:rPr>
        <w:t xml:space="preserve">37</w:t>
      </w:r>
      <w:r>
        <w:t xml:space="preserve"> </w:t>
      </w:r>
      <w:r>
        <w:t xml:space="preserve">—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 withdrawn athletes are hard to recruit, and retrospective accounts compress a continuous process into a remembered decision — by providing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Every flagged athlete is low-but-active (cohort entry guarantees a baseline meet), so the flag list is an outreach list, and the same threshold behaves similarly against an activity-at-17 outcome (14% vs 51% still active) — it serves the adolescent-exit target as well as the senior one.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w:t>
      </w:r>
      <w:r>
        <w:rPr>
          <w:vertAlign w:val="superscript"/>
        </w:rPr>
        <w:t xml:space="preserve">6,7</w:t>
      </w:r>
      <w:r>
        <w:t xml:space="preserve"> </w:t>
      </w:r>
      <w:r>
        <w:t xml:space="preserve">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And the flag must be support-only: the same list that identifies whom to help could identify whom a stretched club quietly deprioritizes — deployment must rule that use out.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w:t>
      </w:r>
      <w:r>
        <w:rPr>
          <w:vertAlign w:val="superscript"/>
        </w:rPr>
        <w:t xml:space="preserve">3</w:t>
      </w:r>
      <w:r>
        <w:t xml:space="preserve"> </w:t>
      </w:r>
      <w:r>
        <w:t xml:space="preserve">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2026-08-25T15:21:14Z</dcterms:created>
  <dcterms:modified xsi:type="dcterms:W3CDTF">2026-08-25T15:21:14Z</dcterms:modified>
</cp:coreProperties>
</file>

<file path=docProps/custom.xml><?xml version="1.0" encoding="utf-8"?>
<Properties xmlns="http://schemas.openxmlformats.org/officeDocument/2006/custom-properties" xmlns:vt="http://schemas.openxmlformats.org/officeDocument/2006/docPropsVTypes"/>
</file>