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220e78b6023a245a3e586c3df937dbf9958a749"/>
    <w:p>
      <w:pPr>
        <w:pStyle w:val="Heading1"/>
      </w:pPr>
      <w:r>
        <w:t xml:space="preserve">Pulling back before dropout: Behavioral disengagement precedes youth-sport exit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births 1998–2002), recording annual competition counts, event diversification, championship participation, and Tyrving age-norm performance through 2025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provided the largest incremental contribution to discrimination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associated with higher retention — contrasting with the diversification literature for peak performance.</w:t>
      </w:r>
    </w:p>
    <w:p>
      <w:pPr>
        <w:pStyle w:val="BodyText"/>
      </w:pPr>
      <w:r>
        <w:rPr>
          <w:b/>
          <w:bCs/>
        </w:rPr>
        <w:t xml:space="preserve">Conclusions.</w:t>
      </w:r>
      <w:r>
        <w:t xml:space="preserve"> </w:t>
      </w:r>
      <w:r>
        <w:t xml:space="preserve">Register-based behavior at the end of the age-14 season identifies athletes exhibiting patterns associated with elevated dropout risk (PPV ≈ 0.94), complementing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track and field — a broad-participation individual sport at younger ages that progressively narrows into a talent-selective pathway during the teens —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 comparing post-baseline volume (ages 15–16) with baseline performance (ages 13–14) gave the behavioral predictor a temporal advantage. In a fully time-aligned comparison — both predictors measured during the baseline window of ages 13–14 — behavior still provides substantially stronger discrimination: AUC = 0.607 for sex + baseline Tyrving, AUC = 0.740 for sex + ages-13–14 volume, AUC = 0.737 for both combined (Supplementary Table S15). The performance variable adds little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was the largest contributor to discrimination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provided the largest incremental contribution to prospective discrimination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Higher baseline specialization (HHI) was associated with higher retention in our data, contrasting with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d8e7dac8b502f85450c842b1d1d29d2999541e"/>
    <w:p>
      <w:pPr>
        <w:pStyle w:val="Heading2"/>
      </w:pPr>
      <w:r>
        <w:t xml:space="preserve">4.2 Behavior captures more variance in retention than performance, even time-aligned</w:t>
      </w:r>
    </w:p>
    <w:p>
      <w:pPr>
        <w:pStyle w:val="FirstParagraph"/>
      </w:pPr>
      <w:r>
        <w:t xml:space="preserve">A central observation is that behavior, measured by registered competition count, provides substantially stronger discrimination of senior retention than performance does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little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and choice appears more predictive of subsequent disengagement than capability.</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to 11). Wall and Côté’s (2007) investor-versus-sampler distinction and Espedalen’s (2025) engaged-enthusiasts-versus-constrained-casuals account both predict bifurcating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2ae3058f246f2e9ab87191b06835f0b1047f0f6"/>
    <w:p>
      <w:pPr>
        <w:pStyle w:val="Heading2"/>
      </w:pPr>
      <w:r>
        <w:t xml:space="preserve">4.6 Specialization in our data points the</w:t>
      </w:r>
      <w:r>
        <w:t xml:space="preserve"> </w:t>
      </w:r>
      <w:r>
        <w:rPr>
          <w:i/>
          <w:iCs/>
        </w:rPr>
        <w:t xml:space="preserve">opposite</w:t>
      </w:r>
      <w:r>
        <w:t xml:space="preserve"> </w:t>
      </w:r>
      <w:r>
        <w:t xml:space="preserve">way from the diversification literature</w:t>
      </w:r>
    </w:p>
    <w:p>
      <w:pPr>
        <w:pStyle w:val="FirstParagraph"/>
      </w:pPr>
      <w:r>
        <w:t xml:space="preserve">In our analysis, athletes who specialized more at ages 13–14 — meaning their early results were concentrated in fewer event categories (e.g., a sprinter who almost only ran sprints, rather than also doing throws and jumps) — were</w:t>
      </w:r>
      <w:r>
        <w:t xml:space="preserve"> </w:t>
      </w:r>
      <w:r>
        <w:rPr>
          <w:i/>
          <w:iCs/>
        </w:rPr>
        <w:t xml:space="preserve">more</w:t>
      </w:r>
      <w:r>
        <w:t xml:space="preserve"> </w:t>
      </w:r>
      <w:r>
        <w:t xml:space="preserve">likely to retain senior activity. A one-SD increase in HHI was associated with 35% higher odds of retention (OR = 1.35, 95% CI [1.16, 1.57]); the same pattern held in both cohorts (A: OR = 1.22; B: OR = 1.58) and in the time-to-cessation Cox model (HR = 0.80).</w:t>
      </w:r>
    </w:p>
    <w:p>
      <w:pPr>
        <w:pStyle w:val="BodyText"/>
      </w:pPr>
      <w:r>
        <w:t xml:space="preserve">This runs against the international diversification literature (Côté &amp; Hancock, 2016; Güllich et al., 2022; Wall &amp; Côté, 2007), which argues that early multidisciplinary practice supports later</w:t>
      </w:r>
      <w:r>
        <w:t xml:space="preserve"> </w:t>
      </w:r>
      <w:r>
        <w:rPr>
          <w:i/>
          <w:iCs/>
        </w:rPr>
        <w:t xml:space="preserve">peak performance</w:t>
      </w:r>
      <w:r>
        <w:t xml:space="preserve">. If that finding extended directly to retention, we would expect lower HHI (more diversification) to be protective. We see the opposite. Three plausible reasons both findings can be true:</w:t>
      </w:r>
    </w:p>
    <w:p>
      <w:pPr>
        <w:pStyle w:val="BodyText"/>
      </w:pPr>
      <w:r>
        <w:rPr>
          <w:b/>
          <w:bCs/>
        </w:rPr>
        <w:t xml:space="preserve">Different outcomes.</w:t>
      </w:r>
      <w:r>
        <w:t xml:space="preserve"> </w:t>
      </w:r>
      <w:r>
        <w:t xml:space="preserve">Peak-performance studies compare the early biographies of athletes who</w:t>
      </w:r>
      <w:r>
        <w:t xml:space="preserve"> </w:t>
      </w:r>
      <w:r>
        <w:rPr>
          <w:i/>
          <w:iCs/>
        </w:rPr>
        <w:t xml:space="preserve">eventually</w:t>
      </w:r>
      <w:r>
        <w:t xml:space="preserve"> </w:t>
      </w:r>
      <w:r>
        <w:t xml:space="preserve">reached elite levels. Our retention outcome asks something simpler — whether a 14-year-old is still competing at age 20. The 16% of our cohort who retain senior status are not a peak-performance sample. Different questions about different sub-populations can legitimately yield different answers.</w:t>
      </w:r>
    </w:p>
    <w:p>
      <w:pPr>
        <w:pStyle w:val="BodyText"/>
      </w:pPr>
      <w:r>
        <w:rPr>
          <w:b/>
          <w:bCs/>
        </w:rPr>
        <w:t xml:space="preserve">Different mechanisms underlying</w:t>
      </w:r>
      <w:r>
        <w:rPr>
          <w:b/>
          <w:bCs/>
        </w:rPr>
        <w:t xml:space="preserve"> </w:t>
      </w:r>
      <w:r>
        <w:rPr>
          <w:b/>
          <w:bCs/>
        </w:rPr>
        <w:t xml:space="preserve">“specialization.”</w:t>
      </w:r>
      <w:r>
        <w:t xml:space="preserve"> </w:t>
      </w:r>
      <w:r>
        <w:t xml:space="preserve">Among elite developmental athletes, early specialization is often a deliberate performance-optimization choice. Among 13- to 14-year-olds in our register, it more likely reflects which events the athlete’s club regularly enters, what facilities are nearby, and whether parents support travel. HHI captures observed behavior, not its motivation; it can correlate with</w:t>
      </w:r>
      <w:r>
        <w:t xml:space="preserve"> </w:t>
      </w:r>
      <w:r>
        <w:rPr>
          <w:i/>
          <w:iCs/>
        </w:rPr>
        <w:t xml:space="preserve">engagement support</w:t>
      </w:r>
      <w:r>
        <w:t xml:space="preserve"> </w:t>
      </w:r>
      <w:r>
        <w:t xml:space="preserve">even though its label suggests</w:t>
      </w:r>
      <w:r>
        <w:t xml:space="preserve"> </w:t>
      </w:r>
      <w:r>
        <w:rPr>
          <w:i/>
          <w:iCs/>
        </w:rPr>
        <w:t xml:space="preserve">performance strategy</w:t>
      </w:r>
      <w:r>
        <w:t xml:space="preserve">.</w:t>
      </w:r>
    </w:p>
    <w:p>
      <w:pPr>
        <w:pStyle w:val="BodyText"/>
      </w:pPr>
      <w:r>
        <w:rPr>
          <w:b/>
          <w:bCs/>
        </w:rPr>
        <w:t xml:space="preserve">Different starting populations.</w:t>
      </w:r>
      <w:r>
        <w:t xml:space="preserve"> </w:t>
      </w:r>
      <w:r>
        <w:t xml:space="preserve">Our cohort is conditioned on participation in a regional meet at ages 13–14, so we estimate specialization’s effect</w:t>
      </w:r>
      <w:r>
        <w:t xml:space="preserve"> </w:t>
      </w:r>
      <w:r>
        <w:rPr>
          <w:i/>
          <w:iCs/>
        </w:rPr>
        <w:t xml:space="preserve">conditional on being engaged enough to enter the funnel</w:t>
      </w:r>
      <w:r>
        <w:t xml:space="preserve">. The diversification literature typically asks a logically earlier question — should children sample many sports before committing? Our analysis cannot answer that.</w:t>
      </w:r>
    </w:p>
    <w:p>
      <w:pPr>
        <w:pStyle w:val="BodyText"/>
      </w:pPr>
      <w:r>
        <w:t xml:space="preserve">We therefore frame this as a contrast with, not a refutation of, the diversification literature. Both can be correct about their respective outcomes. Federations and clubs should not read our finding as a blanket licence to push early specialization, but they should also not assume that forced diversification among already-committed adolescents will improve retention.</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What can a federation or club concretely do with these findings? Four implications follow directly from the analyses above.</w:t>
      </w:r>
    </w:p>
    <w:p>
      <w:pPr>
        <w:pStyle w:val="BodyText"/>
      </w:pPr>
      <w:r>
        <w:rPr>
          <w:b/>
          <w:bCs/>
        </w:rPr>
        <w:t xml:space="preserve">(1) Use register-based behavioural surveillance to identify at-risk athletes early.</w:t>
      </w:r>
      <w:r>
        <w:t xml:space="preserve"> </w:t>
      </w:r>
      <w:r>
        <w:t xml:space="preserve">At the end of each athlete’s age-14 season, a federation can flag athletes whose combined ages-13–14 competition count falls below a chosen threshold. Because pre-milestone volume is observable in the register without any athlete contact, this can be automated. A moderate threshold (&lt; 10 meets, flagging ~26% of athletes) yields a positive predictive value of 0.94: among flagged athletes, roughly 94 in 100 will drop out before senior age — about 10 percentage points above the cohort-wide dropout base rate of 84%, with the additional benefit of identifying</w:t>
      </w:r>
      <w:r>
        <w:t xml:space="preserve"> </w:t>
      </w:r>
      <w:r>
        <w:rPr>
          <w:i/>
          <w:iCs/>
        </w:rPr>
        <w:t xml:space="preserve">which</w:t>
      </w:r>
      <w:r>
        <w:t xml:space="preserve"> </w:t>
      </w:r>
      <w:r>
        <w:t xml:space="preserve">athletes specifically. Thresholds can be tuned to operational capacity: a strict flag (&lt; 5 meets, 9% flagged, PPV 0.93) targets the most extreme cases; a permissive flag (&lt; 15 meets, 43% flagged, PPV 0.93) supports broader outreach. The choice is operational, not statistical.</w:t>
      </w:r>
    </w:p>
    <w:p>
      <w:pPr>
        <w:pStyle w:val="BodyText"/>
      </w:pPr>
      <w:r>
        <w:rPr>
          <w:b/>
          <w:bCs/>
        </w:rPr>
        <w:t xml:space="preserve">(2) Re-flag after the age-15 season using within-athlete change.</w:t>
      </w:r>
      <w:r>
        <w:t xml:space="preserve"> </w:t>
      </w:r>
      <w:r>
        <w:t xml:space="preserve">Volume</w:t>
      </w:r>
      <w:r>
        <w:t xml:space="preserve"> </w:t>
      </w:r>
      <w:r>
        <w:rPr>
          <w:i/>
          <w:iCs/>
        </w:rPr>
        <w:t xml:space="preserve">level</w:t>
      </w:r>
      <w:r>
        <w:t xml:space="preserve"> </w:t>
      </w:r>
      <w:r>
        <w:t xml:space="preserve">at age 14 and volume</w:t>
      </w:r>
      <w:r>
        <w:t xml:space="preserve"> </w:t>
      </w:r>
      <w:r>
        <w:rPr>
          <w:i/>
          <w:iCs/>
        </w:rPr>
        <w:t xml:space="preserve">change</w:t>
      </w:r>
      <w:r>
        <w:t xml:space="preserve"> </w:t>
      </w:r>
      <w:r>
        <w:t xml:space="preserve">from age 14 to 15 each contribute substantial and independent predictive information (Section 3.6, Table 4). A complementary screen at the end of an athlete’s age-15 season — using year-on-year change rather than only level — catches athletes who began high but are pulling back. In operational terms, federations should screen at</w:t>
      </w:r>
      <w:r>
        <w:t xml:space="preserve"> </w:t>
      </w:r>
      <w:r>
        <w:rPr>
          <w:i/>
          <w:iCs/>
        </w:rPr>
        <w:t xml:space="preserve">two</w:t>
      </w:r>
      <w:r>
        <w:t xml:space="preserve"> </w:t>
      </w:r>
      <w:r>
        <w:t xml:space="preserve">points: end of age 14 (level) and end of age 15 (change), with athletes flagged at either trigger.</w:t>
      </w:r>
    </w:p>
    <w:p>
      <w:pPr>
        <w:pStyle w:val="BodyText"/>
      </w:pPr>
      <w:r>
        <w:rPr>
          <w:b/>
          <w:bCs/>
        </w:rPr>
        <w:t xml:space="preserve">(3) Lower the friction for the next-year competition cycle.</w:t>
      </w:r>
      <w:r>
        <w:t xml:space="preserve"> </w:t>
      </w:r>
      <w:r>
        <w:t xml:space="preserve">Because predictor and outcome are both registered competition behavior, the most direct downstream intervention is making the</w:t>
      </w:r>
      <w:r>
        <w:t xml:space="preserve"> </w:t>
      </w:r>
      <w:r>
        <w:rPr>
          <w:i/>
          <w:iCs/>
        </w:rPr>
        <w:t xml:space="preserve">next</w:t>
      </w:r>
      <w:r>
        <w:t xml:space="preserve"> </w:t>
      </w:r>
      <w:r>
        <w:t xml:space="preserve">registered competition easier for flagged athletes: subsidize travel to the regional qualification meet, waive entry fees, organize coach-accompanied transport, schedule low-stakes practice meets during the spring before the age-15 season, and signal that participation is welcome regardless of qualifying performance. Each action changes the cost side of the engagement balance (Scanlan et al., 1993, 2016). Coach calls and parent contact are useful complements but do not, on their own, lower structural barriers to meet entry.</w:t>
      </w:r>
    </w:p>
    <w:p>
      <w:pPr>
        <w:pStyle w:val="BodyText"/>
      </w:pPr>
      <w:r>
        <w:rPr>
          <w:b/>
          <w:bCs/>
        </w:rPr>
        <w:t xml:space="preserve">(4) Be cautious about prescribing diversification for retention.</w:t>
      </w:r>
      <w:r>
        <w:t xml:space="preserve"> </w:t>
      </w:r>
      <w:r>
        <w:t xml:space="preserve">The international diversification literature recommends multidisciplinary practice for</w:t>
      </w:r>
      <w:r>
        <w:t xml:space="preserve"> </w:t>
      </w:r>
      <w:r>
        <w:rPr>
          <w:i/>
          <w:iCs/>
        </w:rPr>
        <w:t xml:space="preserve">peak performance</w:t>
      </w:r>
      <w:r>
        <w:t xml:space="preserve">. Our retention finding goes the other way — higher baseline specialization (HHI) was associated with higher retention, possibly because in this population sustained focus reflects family/club-supported engagement rather than performance-optimisation calculus. The honest recommendation is therefore</w:t>
      </w:r>
      <w:r>
        <w:t xml:space="preserve"> </w:t>
      </w:r>
      <w:r>
        <w:rPr>
          <w:i/>
          <w:iCs/>
        </w:rPr>
        <w:t xml:space="preserve">not</w:t>
      </w:r>
      <w:r>
        <w:t xml:space="preserve"> </w:t>
      </w:r>
      <w:r>
        <w:t xml:space="preserve">to push event diversification as a retention strategy in this age group; if there is a retention case for diversification it has not appeared in our register, and forced diversification could disrupt the conditions that sustain engagement among committed adolescents.</w:t>
      </w:r>
    </w:p>
    <w:p>
      <w:pPr>
        <w:pStyle w:val="BodyText"/>
      </w:pPr>
      <w:r>
        <w:t xml:space="preserve">Behavioural surveillance is a complement to commitment- and motivation-focused instruments such as the SCQ-2 (Scanlan et al., 2016): the behavioural signal identifies</w:t>
      </w:r>
      <w:r>
        <w:t xml:space="preserve"> </w:t>
      </w:r>
      <w:r>
        <w:rPr>
          <w:i/>
          <w:iCs/>
        </w:rPr>
        <w:t xml:space="preserve">whom</w:t>
      </w:r>
      <w:r>
        <w:t xml:space="preserve"> </w:t>
      </w:r>
      <w:r>
        <w:t xml:space="preserve">to reach out to; understanding</w:t>
      </w:r>
      <w:r>
        <w:t xml:space="preserve"> </w:t>
      </w:r>
      <w:r>
        <w:rPr>
          <w:i/>
          <w:iCs/>
        </w:rPr>
        <w:t xml:space="preserve">why</w:t>
      </w:r>
      <w:r>
        <w:t xml:space="preserve"> </w:t>
      </w:r>
      <w:r>
        <w:t xml:space="preserve">an athlete is pulling back still requires conversation and, ideally, brief structured assessment of the engagement balance.</w:t>
      </w:r>
    </w:p>
    <w:bookmarkEnd w:id="56"/>
    <w:bookmarkStart w:id="57"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The observed behavioral signal should therefore be interpreted as disengagement from organized competitive participation — and from the</w:t>
      </w:r>
      <w:r>
        <w:t xml:space="preserve"> </w:t>
      </w:r>
      <w:r>
        <w:rPr>
          <w:i/>
          <w:iCs/>
        </w:rPr>
        <w:t xml:space="preserve">competitive identity</w:t>
      </w:r>
      <w:r>
        <w:t xml:space="preserve"> </w:t>
      </w:r>
      <w:r>
        <w:t xml:space="preserve">that organized participation supports — rather than from sport or physical activity more broadly.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2026-05-18T20:05:21Z</dcterms:created>
  <dcterms:modified xsi:type="dcterms:W3CDTF">2026-05-18T20:05:21Z</dcterms:modified>
</cp:coreProperties>
</file>

<file path=docProps/custom.xml><?xml version="1.0" encoding="utf-8"?>
<Properties xmlns="http://schemas.openxmlformats.org/officeDocument/2006/custom-properties" xmlns:vt="http://schemas.openxmlformats.org/officeDocument/2006/docPropsVTypes"/>
</file>