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2ae3058f246f2e9ab87191b06835f0b1047f0f6"/>
    <w:p>
      <w:pPr>
        <w:pStyle w:val="Heading2"/>
      </w:pPr>
      <w:r>
        <w:t xml:space="preserve">4.6 Specialization in our data points the</w:t>
      </w:r>
      <w:r>
        <w:t xml:space="preserve"> </w:t>
      </w:r>
      <w:r>
        <w:rPr>
          <w:i/>
          <w:iCs/>
        </w:rPr>
        <w:t xml:space="preserve">opposite</w:t>
      </w:r>
      <w:r>
        <w:t xml:space="preserve"> </w:t>
      </w:r>
      <w:r>
        <w:t xml:space="preserve">way from the diversification literature</w:t>
      </w:r>
    </w:p>
    <w:p>
      <w:pPr>
        <w:pStyle w:val="FirstParagraph"/>
      </w:pPr>
      <w:r>
        <w:t xml:space="preserve">In our analysis, athletes who specialized more at ages 13–14 — meaning their early results were concentrated in fewer event categories (e.g., a sprinter who almost only ran sprints, rather than also doing throws and jumps) — were</w:t>
      </w:r>
      <w:r>
        <w:t xml:space="preserve"> </w:t>
      </w:r>
      <w:r>
        <w:rPr>
          <w:i/>
          <w:iCs/>
        </w:rPr>
        <w:t xml:space="preserve">more</w:t>
      </w:r>
      <w:r>
        <w:t xml:space="preserve"> </w:t>
      </w:r>
      <w:r>
        <w:t xml:space="preserve">likely to retain senior activity. A one-SD increase in HHI was associated with 35% higher odds of retention (OR = 1.35, 95% CI [1.16, 1.57]); the same pattern held in both cohorts (A: OR = 1.22; B: OR = 1.58) and in the time-to-cessation Cox model (HR = 0.80).</w:t>
      </w:r>
    </w:p>
    <w:p>
      <w:pPr>
        <w:pStyle w:val="BodyText"/>
      </w:pPr>
      <w:r>
        <w:t xml:space="preserve">This runs against the international diversification literature (Côté &amp; Hancock, 2016; Güllich et al., 2022; Wall &amp; Côté, 2007), which argues that early multidisciplinary practice supports later</w:t>
      </w:r>
      <w:r>
        <w:t xml:space="preserve"> </w:t>
      </w:r>
      <w:r>
        <w:rPr>
          <w:i/>
          <w:iCs/>
        </w:rPr>
        <w:t xml:space="preserve">peak performance</w:t>
      </w:r>
      <w:r>
        <w:t xml:space="preserve">. If that finding extended directly to retention, we would expect lower HHI (more diversification) to be protective. We see the opposite. Three plausible reasons both findings can be true:</w:t>
      </w:r>
    </w:p>
    <w:p>
      <w:pPr>
        <w:pStyle w:val="BodyText"/>
      </w:pPr>
      <w:r>
        <w:rPr>
          <w:b/>
          <w:bCs/>
        </w:rPr>
        <w:t xml:space="preserve">Different outcomes.</w:t>
      </w:r>
      <w:r>
        <w:t xml:space="preserve"> </w:t>
      </w:r>
      <w:r>
        <w:t xml:space="preserve">Peak-performance studies compare the early biographies of athletes who</w:t>
      </w:r>
      <w:r>
        <w:t xml:space="preserve"> </w:t>
      </w:r>
      <w:r>
        <w:rPr>
          <w:i/>
          <w:iCs/>
        </w:rPr>
        <w:t xml:space="preserve">eventually</w:t>
      </w:r>
      <w:r>
        <w:t xml:space="preserve"> </w:t>
      </w:r>
      <w:r>
        <w:t xml:space="preserve">reached elite levels. Our retention outcome asks something simpler — whether a 14-year-old is still competing at age 20. The 16% of our cohort who retain senior status are not a peak-performance sample. Different questions about different sub-populations can legitimately yield different answers.</w:t>
      </w:r>
    </w:p>
    <w:p>
      <w:pPr>
        <w:pStyle w:val="BodyText"/>
      </w:pPr>
      <w:r>
        <w:rPr>
          <w:b/>
          <w:bCs/>
        </w:rPr>
        <w:t xml:space="preserve">Different mechanisms underlying</w:t>
      </w:r>
      <w:r>
        <w:rPr>
          <w:b/>
          <w:bCs/>
        </w:rPr>
        <w:t xml:space="preserve"> </w:t>
      </w:r>
      <w:r>
        <w:rPr>
          <w:b/>
          <w:bCs/>
        </w:rPr>
        <w:t xml:space="preserve">“specialization.”</w:t>
      </w:r>
      <w:r>
        <w:t xml:space="preserve"> </w:t>
      </w:r>
      <w:r>
        <w:t xml:space="preserve">Among elite developmental athletes, early specialization is often a deliberate performance-optimization choice. Among 13- to 14-year-olds in our register, it more likely reflects which events the athlete’s club regularly enters, what facilities are nearby, and whether parents support travel. HHI captures observed behavior, not its motivation; it can correlate with</w:t>
      </w:r>
      <w:r>
        <w:t xml:space="preserve"> </w:t>
      </w:r>
      <w:r>
        <w:rPr>
          <w:i/>
          <w:iCs/>
        </w:rPr>
        <w:t xml:space="preserve">engagement support</w:t>
      </w:r>
      <w:r>
        <w:t xml:space="preserve"> </w:t>
      </w:r>
      <w:r>
        <w:t xml:space="preserve">even though its label suggests</w:t>
      </w:r>
      <w:r>
        <w:t xml:space="preserve"> </w:t>
      </w:r>
      <w:r>
        <w:rPr>
          <w:i/>
          <w:iCs/>
        </w:rPr>
        <w:t xml:space="preserve">performance strategy</w:t>
      </w:r>
      <w:r>
        <w:t xml:space="preserve">.</w:t>
      </w:r>
    </w:p>
    <w:p>
      <w:pPr>
        <w:pStyle w:val="BodyText"/>
      </w:pPr>
      <w:r>
        <w:rPr>
          <w:b/>
          <w:bCs/>
        </w:rPr>
        <w:t xml:space="preserve">Different starting populations.</w:t>
      </w:r>
      <w:r>
        <w:t xml:space="preserve"> </w:t>
      </w:r>
      <w:r>
        <w:t xml:space="preserve">Our cohort is conditioned on participation in a regional meet at ages 13–14, so we estimate specialization’s effect</w:t>
      </w:r>
      <w:r>
        <w:t xml:space="preserve"> </w:t>
      </w:r>
      <w:r>
        <w:rPr>
          <w:i/>
          <w:iCs/>
        </w:rPr>
        <w:t xml:space="preserve">conditional on being engaged enough to enter the funnel</w:t>
      </w:r>
      <w:r>
        <w:t xml:space="preserve">. The diversification literature typically asks a logically earlier question — should children sample many sports before committing? Our analysis cannot answer that.</w:t>
      </w:r>
    </w:p>
    <w:p>
      <w:pPr>
        <w:pStyle w:val="BodyText"/>
      </w:pPr>
      <w:r>
        <w:t xml:space="preserve">We therefore frame this as a contrast with, not a refutation of, the diversification literature. Both can be correct about their respective outcomes. Federations and clubs should not read our finding as a blanket licence to push early specialization, but they should also not assume that forced diversification among already-committed adolescents will improve retention.</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a federation can flag athletes whose combined ages-13–14 competition count falls below a chosen threshold. Because pre-milestone volume is observable in the register without any athlete contact, this can be automated. A moderate threshold (&lt; 10 meets, flagging ~26% of athletes) yields a positive predictive value of 0.94: among flagged athletes, roughly 94 in 100 will drop out before senior age — about 10 percentage points above the cohort-wide dropout base rate of 84%, with the additional benefit of identifying</w:t>
      </w:r>
      <w:r>
        <w:t xml:space="preserve"> </w:t>
      </w:r>
      <w:r>
        <w:rPr>
          <w:i/>
          <w:iCs/>
        </w:rPr>
        <w:t xml:space="preserve">which</w:t>
      </w:r>
      <w:r>
        <w:t xml:space="preserve"> </w:t>
      </w:r>
      <w:r>
        <w:t xml:space="preserve">athletes specifically. Thresholds can be tuned to operational capacity: a strict flag (&lt; 5 meets, 9% flagged, PPV 0.93) targets the most extreme cases; a permissive flag (&lt; 15 meets, 43% flagged, PPV 0.93) supports broader outreach. The choice is operational, not statistical.</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 rather than only nominating coaches.</w:t>
      </w:r>
      <w:r>
        <w:t xml:space="preserve"> </w:t>
      </w:r>
      <w:r>
        <w:t xml:space="preserve">Because our predictor is registered competition behavior and our outcome is also registered competition behavior, the most direct downstream intervention is to make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make explicit that participation is welcome regardless of qualifying performance. Each of these actions changes the cost side of the engagement balance (Scanlan et al., 1993, 2016) that our data describe. Coach phone calls and parent contact are useful complements; on their own, they do not lower the structural barriers to the next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A final note. Behavioural surveillance is a complement to, not a replacement for, commitment- and motivation-focused instruments such as the SCQ-2 (Scanlan et al., 2016): the behavioural signal identifies</w:t>
      </w:r>
      <w:r>
        <w:t xml:space="preserve"> </w:t>
      </w:r>
      <w:r>
        <w:rPr>
          <w:i/>
          <w:iCs/>
        </w:rPr>
        <w:t xml:space="preserve">whom</w:t>
      </w:r>
      <w:r>
        <w:t xml:space="preserve"> </w:t>
      </w:r>
      <w:r>
        <w:t xml:space="preserve">to reach out to, but understanding</w:t>
      </w:r>
      <w:r>
        <w:t xml:space="preserve"> </w:t>
      </w:r>
      <w:r>
        <w:rPr>
          <w:i/>
          <w:iCs/>
        </w:rPr>
        <w:t xml:space="preserve">why</w:t>
      </w:r>
      <w:r>
        <w:t xml:space="preserve"> </w:t>
      </w:r>
      <w:r>
        <w:t xml:space="preserve">an athlete is pulling back — and what would help — still requires conversation with the athlete and, ideally, brief structured assessment of the engagement balance.</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2026-05-18T20:05:21Z</dcterms:created>
  <dcterms:modified xsi:type="dcterms:W3CDTF">2026-05-18T20:05:21Z</dcterms:modified>
</cp:coreProperties>
</file>

<file path=docProps/custom.xml><?xml version="1.0" encoding="utf-8"?>
<Properties xmlns="http://schemas.openxmlformats.org/officeDocument/2006/custom-properties" xmlns:vt="http://schemas.openxmlformats.org/officeDocument/2006/docPropsVTypes"/>
</file>