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c35107a2ed49a74c8ee51c8c78122e736058acc"/>
    <w:p>
      <w:pPr>
        <w:pStyle w:val="Heading1"/>
      </w:pPr>
      <w:r>
        <w:t xml:space="preserve">Pulling back before dropping out: Behavioral disengagement precedes exit from Norwegian youth track and field — a 14-year register study</w:t>
      </w:r>
    </w:p>
    <w:p>
      <w:pPr>
        <w:pStyle w:val="FirstParagraph"/>
      </w:pPr>
      <w:r>
        <w:rPr>
          <w:b/>
          <w:bCs/>
        </w:rPr>
        <w:t xml:space="preserve">Running title:</w:t>
      </w:r>
      <w:r>
        <w:t xml:space="preserve"> </w:t>
      </w:r>
      <w:r>
        <w:t xml:space="preserve">Behavioral disengagement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2,123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dominant predictor (OR = 2.40 per SD, 95% CI [2.08, 2.76]; cross-validated AUC = 0.751; calibration slope 0.96), outperformed age-normed performance measured in the same window, was unchanged by structural controls and club random effects, and replicated across two adjacent birth cohorts. Exit-aligned trajectories showed that withdrawal was gradual for most athletes: median volume fell 12 → 10 → 9 → 4 meets across dropouts’ last four seasons, 74% had a reduced-but-nonzero season before their final season, and among athletes still active at 16, both earlier volume (OR = 3.04) and decline across ages 15–16 (OR = 1.88) predicted senior status. Higher within-sport event concentration predicted higher retention, robust to count-dependence checks — a construct distinct from multisport diversification. A register-based flag at the end of the age-14 season (&lt; 10 meets) identifies the 26% of athletes whose senior retention is 6%, versus 20% among the unflagged (PPV = 0.94 against an 84% base rate; sensitivity 0.30) —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 (Eime et al., 2013) — benefits that presuppose that young people stay involved. Attrition from organized competition during adolescence is substantial across countries and sports (Crane &amp; Temple, 2015), and track and field is no exception: in a 25-year Norwegian follow-up, roughly 82% of promising track and field athletes identified in adolescence had left the sport within 14 years (Enoksen, 2011), and in the broad-participation cohort studied here, fewer than half of those competing at ages 13–14 were still competing at 17 (Section 3).</w:t>
      </w:r>
    </w:p>
    <w:p>
      <w:pPr>
        <w:pStyle w:val="BodyText"/>
      </w:pPr>
      <w:r>
        <w:t xml:space="preserve">Terminology in this literature is often ambiguous, so we fix ours at the outset. Following Battaglia et al. (2024), we distinguish</w:t>
      </w:r>
      <w:r>
        <w:t xml:space="preserve"> </w:t>
      </w:r>
      <w:r>
        <w:rPr>
          <w:i/>
          <w:iCs/>
        </w:rPr>
        <w:t xml:space="preserve">withdrawal</w:t>
      </w:r>
      <w:r>
        <w:t xml:space="preserve"> </w:t>
      </w:r>
      <w:r>
        <w:t xml:space="preserve">— the gradual process of disengaging from a sport —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with existing methods.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 (Eliasson &amp; Johansson, 2021), so some form of decline over a period of time should be expected. The Sport Commitment Model (Scanlan et al., 1993, 2016) describes how the desire and resolve to continue are shaped by enjoyment, personal investments, involvement opportunities, attractive alternatives, and social constraints; Kretchmar’s (2000) account of meaning in movement similarly ties sustained participation to the meaningfulness individuals assign to the activity, not necessarily to success.</w:t>
      </w:r>
    </w:p>
    <w:p>
      <w:pPr>
        <w:pStyle w:val="BodyText"/>
      </w:pPr>
      <w:r>
        <w:t xml:space="preserve">The most developed account of this process view comes from sociology. Eliasson and Johansson (2021) applied Ebaugh’s (1988) role-exit framework — in which leaving a social role proceeds through stages of first doubts, seeking and weighing alternatives, a turning point, and the construction of an ex-role identity —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Survey evidence from Norwegian youth complements this picture: stated reasons for leaving organized sport are diverse and patterned by social background, with cost-related reasons cited more often by youth from lower-income families (Espedalen &amp; Seippel, 2024).</w:t>
      </w:r>
    </w:p>
    <w:p>
      <w:pPr>
        <w:pStyle w:val="BodyText"/>
      </w:pPr>
      <w:r>
        <w:t xml:space="preserve">Groups of athletes also appear to differ in how they respond when competitive demands increase. Norwegian participation research documents strong stratification of ambition and investment among youth participants — a minority train and compete with long-term aspirations, while a larger group take part for enjoyment and belonging and more readily reprioritize when sport becomes demanding (Bakken, 2019) — and the Sport Commitment Model’s distinction between enthusiastic and constrained commitment predicts exactly such divergent responses to rising demands (Scanlan et al., 2016). Consistent with the idea that such differences leave behavioral traces well before exit, retrospective comparisons of developmental activities show that youth ice-hockey players who later dropped out already differed from persisting peers in their earlier training patterns — for example, taking up intense sport-specific off-ice training at younger ages (Wall &amp; Côté, 2007). 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 (Eime et al., 2013), and the hypothesized timescale (1–3 years) exceeds most prospective follow-up windows — Sarrazin et al.’s (2002) 21-month handball study is unusually long and still does not bridge the adolescent-to-junior transition. A separate quantitative tradition studies correlates of dropout and development — relative age effects (Cobley et al., 2009), specialization (DiFiori et al., 2014; Jayanthi et al., 2015; Côté &amp; Hancock, 2016; Güllich et al., 2022) — and short longitudinal designs measuring proximal psychological constructs (Kuokkanen et al., 2026; Worley &amp; Smith, 2026; Zhong et al., 2026); prospective psychosocial predictors of adolescent dropout have been meta-analyzed (Back et al., 2022), and in athletics, registers and rankings have been used to study</w:t>
      </w:r>
      <w:r>
        <w:t xml:space="preserve"> </w:t>
      </w:r>
      <w:r>
        <w:rPr>
          <w:i/>
          <w:iCs/>
        </w:rPr>
        <w:t xml:space="preserve">performance</w:t>
      </w:r>
      <w:r>
        <w:t xml:space="preserve"> </w:t>
      </w:r>
      <w:r>
        <w:t xml:space="preserve">trajectories across the youth-to-senior transition (Kearney &amp; Hayes, 2018). The</w:t>
      </w:r>
      <w:r>
        <w:t xml:space="preserve"> </w:t>
      </w:r>
      <w:r>
        <w:rPr>
          <w:i/>
          <w:iCs/>
        </w:rPr>
        <w:t xml:space="preserve">participation</w:t>
      </w:r>
      <w:r>
        <w:t xml:space="preserve"> </w:t>
      </w:r>
      <w:r>
        <w:t xml:space="preserve">trajectory itself — competition behavior recorded entry by entry —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2,123 Norwegian youth athletes longitudinally for up to 14 years using the federation’s competition register (see Figure 1) and tested three hypotheses. First, because withdrawal is described as a protracted, deliberative process (Ebaugh, 1988; Eliasson &amp; Johansson, 2021) and because more and less committed participants are expected to respond differently to rising competitive demands (Bakken, 2019; Scanlan et al., 2016), we predicted that the</w:t>
      </w:r>
      <w:r>
        <w:t xml:space="preserve"> </w:t>
      </w:r>
      <w:r>
        <w:rPr>
          <w:i/>
          <w:iCs/>
        </w:rPr>
        <w:t xml:space="preserve">participation trajectories</w:t>
      </w:r>
      <w:r>
        <w:t xml:space="preserve"> </w:t>
      </w:r>
      <w:r>
        <w:t xml:space="preserve">of future retainers and future dropouts would diverge before the final registered season — in two separable forms that we test separately: early between-athlete differences in level, and within-athlete decline. Second, because the determinants of sport commitment are experiential and volitional — enjoyment, investment, alternatives, constraint — rather than ability-based (Scanlan et al., 1993, 2016), we predicted that</w:t>
      </w:r>
      <w:r>
        <w:t xml:space="preserve"> </w:t>
      </w:r>
      <w:r>
        <w:rPr>
          <w:i/>
          <w:iCs/>
        </w:rPr>
        <w:t xml:space="preserve">behavioral engagement indicators</w:t>
      </w:r>
      <w:r>
        <w:t xml:space="preserve"> </w:t>
      </w:r>
      <w:r>
        <w:t xml:space="preserve">would predict subsequent senior retention better than</w:t>
      </w:r>
      <w:r>
        <w:t xml:space="preserve"> </w:t>
      </w:r>
      <w:r>
        <w:rPr>
          <w:i/>
          <w:iCs/>
        </w:rPr>
        <w:t xml:space="preserve">baseline performance</w:t>
      </w:r>
      <w:r>
        <w:t xml:space="preserve"> </w:t>
      </w:r>
      <w:r>
        <w:t xml:space="preserve">would. Third — a robustness expectation rather than a theory-derived prediction — the pattern should</w:t>
      </w:r>
      <w:r>
        <w:t xml:space="preserve"> </w:t>
      </w:r>
      <w:r>
        <w:rPr>
          <w:i/>
          <w:iCs/>
        </w:rPr>
        <w:t xml:space="preserve">replicate</w:t>
      </w:r>
      <w:r>
        <w:t xml:space="preserve"> </w:t>
      </w:r>
      <w:r>
        <w:t xml:space="preserve">internally across two adjacent birth-year cohorts. Throughout,</w:t>
      </w:r>
      <w:r>
        <w:t xml:space="preserve"> </w:t>
      </w:r>
      <w:r>
        <w:rPr>
          <w:i/>
          <w:iCs/>
        </w:rPr>
        <w:t xml:space="preserve">competition behavior</w:t>
      </w:r>
      <w:r>
        <w:t xml:space="preserve"> </w:t>
      </w:r>
      <w:r>
        <w:t xml:space="preserve">is an observable behavioral indicator — not a direct measure of motivation — whose temporal structure can be compared with process accounts;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 (von Elm et al., 2007).</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 (Norges Friidrettsforbund, 2026). (The exception — occasional invitational regional-team matches for 14–15-year-olds — does not gate ordinary competition.) Athletes — together with their families — decide which meets and events to enter, entry fees are ordinarily paid by the athlete’s club rather than by the family, participation is actively encouraged by clubs and the federation, and travel distances to ordinary meets are typically short. The first genuinely selective competition an athlete encounters is the national youth championship (Ungdomsmesterskapet, UM), which athletes may enter in the calendar year they turn 15 and which applies event-specific qualifying standards. Two design consequences follow: before age 15, meet counts primarily express the athlete’s own choice rather than selection or entry costs — which licenses interpreting ages-13–14 volume as a behavioral indicator of engagement — and the ages-15–16 window coincides with the first selective gate (UM), which is why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mid, and western Norway (northern Norway is not represented). Athletes were 13–14 and entered through their club with no qualifying threshold; disengagement trajectories therefore arise from a baseline of demonstrable engagement. Birth years were restricted to 1998–2002 (boundary years 1997 and 2003 had only one eligible edition), and athletes appearing in both a 13- and a 14-year-old edition were de-duplicated to the earlier one (Supplementary Figure S0). For cross-cohort replication, participants were partitioned into Cohort A (births 1998–2000, baseline meets 2011–2014; n = 1,301) and Cohort B (births 2001–2002, baseline meets 2014–2016; n = 822). Athletes were retained in the cohort regardless of any subsequent transfer between clubs, so a change of club does not register as dropout; such transfers were common (27.8% of athletes recorded results for two or more clubs during follow-up). The total cohort comprised 2,123 athletes (996 male, 1,103 female, 24 with unknown sex), generating 230,868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senior age),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 time to last active season (calendar year with ≥2 results), right-censoring athletes active in 2024+ — supports Kaplan–Meier visualization and Cox sensitivity analyses (Section 2.5.4).</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 (Norges Friidrettsforbund, 2024): a published table gives, per event × sex × age, a reference performance worth 1,000 points and a per-unit quotient (values capped at 1,500 to suppress data-entry errors). We computed tyrving_best (baseline maximum), tyrving_peak_pre15, per-age scores (yielding a baseline performance trajectory, age-14 minus age-13), and tyrving_slope_13_16.</w:t>
      </w:r>
    </w:p>
    <w:bookmarkEnd w:id="19"/>
    <w:bookmarkStart w:id="20" w:name="specialization"/>
    <w:p>
      <w:pPr>
        <w:pStyle w:val="Heading3"/>
      </w:pPr>
      <w:r>
        <w:t xml:space="preserve">2.4.3 Specialization</w:t>
      </w:r>
    </w:p>
    <w:p>
      <w:pPr>
        <w:pStyle w:val="FirstParagraph"/>
      </w:pPr>
      <w:r>
        <w:t xml:space="preserve">For every athlete-year we counted the event categories entered (sprint, middle-distance, long-distance, hurdles, jumps, throws, combined events, race walking, relay)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Key variables: hhi_early (first three active seasons), hhi_age_15, and their change. Combined events appear in the register both as a total and as separate constituent results; constituents are counted in their natural categories (multi-event athletes register as diversified; stand-alone combined rows &lt;0.1%). Categories co-occur unevenly (sprints and hurdles share training demands; throws transfer little); the HHI treats them symmetrically — see the limitations.</w:t>
      </w:r>
    </w:p>
    <w:bookmarkEnd w:id="20"/>
    <w:bookmarkStart w:id="21" w:name="behavioral-engagement"/>
    <w:p>
      <w:pPr>
        <w:pStyle w:val="Heading3"/>
      </w:pPr>
      <w:r>
        <w:t xml:space="preserve">2.4.4 Behavioral engagement</w:t>
      </w:r>
    </w:p>
    <w:p>
      <w:pPr>
        <w:pStyle w:val="FirstParagraph"/>
      </w:pPr>
      <w:r>
        <w:t xml:space="preserve">For each athlete and age-year from 13 to 18 we counted distinct meets attended (vol_age_X; a multi-event competition counts as one meet) and total results (res_age_X, which also define active seasons: ≥2 results in a calendar year). Composites: vol_pre_milestone (meets at 13–14), vol_milestone (15–16), their difference, and n_champ_types (championship types before 17) — observable behavioral markers, not direct measures of motivation or commitment.</w:t>
      </w:r>
    </w:p>
    <w:bookmarkEnd w:id="21"/>
    <w:bookmarkStart w:id="22" w:name="controls"/>
    <w:p>
      <w:pPr>
        <w:pStyle w:val="Heading3"/>
      </w:pPr>
      <w:r>
        <w:t xml:space="preserve">2.4.5 Controls</w:t>
      </w:r>
    </w:p>
    <w:p>
      <w:pPr>
        <w:pStyle w:val="FirstParagraph"/>
      </w:pPr>
      <w:r>
        <w:t xml:space="preserve">Sex (M/F as registered), birth quarter (Q1–Q4), baseline region (eastern, mid, or western Norway, by venue), and club size in the baseline year (registered athletes in the same club).</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early HHI, and pre-milestone volume, fitted in a nested sequence (L1: sex; L2: + Tyrving; L3: + HHI; L4: + volume) to characterize each variable class’s unique contribution. Continuous covariates were z-standardized (per-SD effects; standardization preceded cross-validation), all nested models were fitted on the fixed L4 complete-case sample, and discrimination was assessed by 5-fold stratified CV-AUC (± = SD across folds), with calibration slope and intercept computed on the cross-validated predictions. Restricting predictors to ages 13–14 keeps the primary estimate unambiguously prospective: it avoids the measurement overlap that would arise because an athlete who drops out before age 15 has milestone-window volume of zero by construction.</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and standardized club size, comparing the stability of the volume coefficient with and without controls (Supplementary Table S13).</w:t>
      </w:r>
    </w:p>
    <w:bookmarkEnd w:id="25"/>
    <w:bookmarkStart w:id="26" w:name="X84a8a431558273e77cc8a1911b2ecb20919e594"/>
    <w:p>
      <w:pPr>
        <w:pStyle w:val="Heading3"/>
      </w:pPr>
      <w:r>
        <w:t xml:space="preserve">2.5.3 Within-athlete pull-back vs. baseline heterogeneity</w:t>
      </w:r>
    </w:p>
    <w:p>
      <w:pPr>
        <w:pStyle w:val="FirstParagraph"/>
      </w:pPr>
      <w:r>
        <w:t xml:space="preserve">To disentangle early behavioral heterogeneity from within-athlete pull-back, we fit a logistic regression on athletes still active at age 14 (1,914; complete-case model n = 1,549) including both the volume level at age 14 and the change from 14 to 15 (Table 4). Because a change score can span the exit itself, two analyses probe the within-athlete claim directly: exit-aligned trajectories (volume one to three seasons before each dropout’s own final active season) and a contamination-free change model among athletes still active at 16 (level at 15 plus change 15→16 predicting senior status; Supplementary Table S19). Prospective early-warning thresholds on pre-milestone volume (classification performance at candidate cut-offs at the end of the age-14 season, with bootstrap CIs) are reported in Table 6.</w:t>
      </w:r>
    </w:p>
    <w:bookmarkEnd w:id="26"/>
    <w:bookmarkStart w:id="27" w:name="X7439450477d30e4eede84f2423a577a00bb0c32"/>
    <w:p>
      <w:pPr>
        <w:pStyle w:val="Heading3"/>
      </w:pPr>
      <w:r>
        <w:t xml:space="preserve">2.5.4 Time-to-cessation survival analysis (secondary)</w:t>
      </w:r>
    </w:p>
    <w:p>
      <w:pPr>
        <w:pStyle w:val="FirstParagraph"/>
      </w:pPr>
      <w:r>
        <w:t xml:space="preserve">Time from baseline to last active season was modeled with Cox proportional hazards regression (Cox, 1972), with a baseline-only primary specification (Supplementary Table S16), a landmark analysis among athletes active at age 16 (van Houwelingen, 2007), and a post-baseline specification interpreted with overlap caveats (Supplementary Table S8; Table 5). Proportional-hazards checks, E-values (VanderWeele &amp; Ding, 2017), cluster-robust errors, and period- and sex-specific estimates are in the Supplementary Methods; hazard ratios are descriptive, not causal.</w:t>
      </w:r>
    </w:p>
    <w:bookmarkEnd w:id="27"/>
    <w:bookmarkStart w:id="28" w:name="sample-size-missing-data-and-replication"/>
    <w:p>
      <w:pPr>
        <w:pStyle w:val="Heading3"/>
      </w:pPr>
      <w:r>
        <w:t xml:space="preserve">2.5.5 Sample size, missing data, and replication</w:t>
      </w:r>
    </w:p>
    <w:p>
      <w:pPr>
        <w:pStyle w:val="FirstParagraph"/>
      </w:pPr>
      <w:r>
        <w:t xml:space="preserve">Because the design observes the full eligible population, classical a-priori power analysis does not apply; a detection-capacity analysis (Supplementary Methods) shows the design could detect hazard ratios ≥1.07 and odds ratios ≥1.20 per SD — well below effect sizes typical of prior dropout research (Back et al., 2022). Missing values (Tyrving ~20%, HHI ~10%) were handled by complete-case analysis (n = 1,704), with multiple imputation (m = 20, Rubin-pooled) as the principal sensitivity plus included-versus-excluded comparison, mean imputation, and club-clustered standard errors (Supplementary Tables S21, S25, S5, S2; sample flow: Supplementary Table S12). Club-level confounding was probed via the intraclass correlation of volume across baseline clubs and a refit with club random intercepts (Supplementary Table S22). The primary and secondary models were re-estimated separately by birth cohort.</w:t>
      </w:r>
    </w:p>
    <w:bookmarkEnd w:id="28"/>
    <w:bookmarkStart w:id="29" w:name="software"/>
    <w:p>
      <w:pPr>
        <w:pStyle w:val="Heading3"/>
      </w:pPr>
      <w:r>
        <w:t xml:space="preserve">2.5.6 Software</w:t>
      </w:r>
    </w:p>
    <w:p>
      <w:pPr>
        <w:pStyle w:val="FirstParagraph"/>
      </w:pPr>
      <w:r>
        <w:t xml:space="preserve">Analyses used Python 3.13 with lifelines (Davidson-Pilon, 2019) and scikit-learn (Pedregosa et al., 2011); figures used matplotlib (Hunter, 2007). Analysis code will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 (Heidari et al., 2016), all primary analyses include sex as a covariate, with sex-stratified analyses in Supplementary Table S7;</w:t>
      </w:r>
      <w:r>
        <w:t xml:space="preserve"> </w:t>
      </w:r>
      <w:r>
        <w:t xml:space="preserve">“sex”</w:t>
      </w:r>
      <w:r>
        <w:t xml:space="preserve"> </w:t>
      </w:r>
      <w:r>
        <w:t xml:space="preserve">reflects the federation’s binary registration variable —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2,123 athletes (52.0% female): 1,301 in Cohort A and 822 in Cohort B, closely matched at baseline (mean Tyrving 666 and ~41% active at 17 in each; Table 1). Senior retention (≥1 season with ≥2 results at age 20+) was 15.8% in Cohort A and 17.3% in Cohort B (combined 16.4%). The proportion still active in 2024+ was 5.8% (A) and 10.8% (B), reflecting Cohort B’s shorter follow-up (fixed-window outcome at ages 20–22: 15.3% vs 16.7%; Supplementary Table S24).</w:t>
      </w:r>
    </w:p>
    <w:bookmarkEnd w:id="34"/>
    <w:bookmarkStart w:id="35"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Ever 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ages 13–14</w:t>
            </w:r>
          </w:p>
        </w:tc>
        <w:tc>
          <w:tcPr/>
          <w:p>
            <w:pPr>
              <w:pStyle w:val="Compact"/>
            </w:pPr>
            <w:r>
              <w:t xml:space="preserve">8</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 at age 17”</w:t>
      </w:r>
      <w:r>
        <w:t xml:space="preserve"> </w:t>
      </w:r>
      <w:r>
        <w:t xml:space="preserve">indicates ≥2 registered competition results in the athlete’s age-17 calendar year;</w:t>
      </w:r>
      <w:r>
        <w:t xml:space="preserve"> </w:t>
      </w:r>
      <w:r>
        <w:t xml:space="preserve">“Ever active at age 20+”</w:t>
      </w:r>
      <w:r>
        <w:t xml:space="preserve"> </w:t>
      </w:r>
      <w:r>
        <w:t xml:space="preserve">is the outcome prevalence (≥2 results in any calendar year at age 20 or later). Tyrving points = the Norwegian Athletics Federation’s age-norm score, where 1,000 corresponds to the published reference performance for that event × sex × age combination.</w:t>
      </w:r>
    </w:p>
    <w:p>
      <w:r>
        <w:pict>
          <v:rect style="width:0;height:1.5pt" o:hralign="center" o:hrstd="t" o:hr="t"/>
        </w:pict>
      </w:r>
    </w:p>
    <w:bookmarkEnd w:id="35"/>
    <w:bookmarkStart w:id="42"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plotted separately for eventual retainers (n = 348) and non-retainers (n = 1,775). The groups already differ at baseline — medians of 13 vs. 8 meets at age 13, and 17 vs. 8 at age 14 — and from age 15 they diverge sharply: retainers peak at 19 meets and sustain that level through 17, while future dropouts fall from 8 to 3 to 0. Baseline differences and within-athlete pull-back are separated formally in Section 3.5.</w:t>
      </w:r>
    </w:p>
    <w:p>
      <w:pPr>
        <w:pStyle w:val="BodyText"/>
      </w:pPr>
      <w:r>
        <w:t xml:space="preserve">Kaplan–Meier curves summarize the same attrition in time-to-event form: half the cohort had ceased active competition within 3 years and 75% within 5, with the steepest dropout at age 17, the youth-to-junior transition (Supplementary Figure S2). Sex-stratified curves overlap (log-rank χ² = 0.95,</w:t>
      </w:r>
      <w:r>
        <w:t xml:space="preserve"> </w:t>
      </w:r>
      <w:r>
        <w:rPr>
          <w:i/>
          <w:iCs/>
        </w:rPr>
        <w:t xml:space="preserve">p</w:t>
      </w:r>
      <w:r>
        <w:t xml:space="preserve"> </w:t>
      </w:r>
      <w:r>
        <w:t xml:space="preserve">= .33). Stratifying descriptively by ages-15–16 volume yields monotonically separated curves — 71% senior retention with ≥31 meets vs. 4% with none (Figure 3) — and stratifying by pre-17 championship types shows the same pattern (Supplementary Figure S3). Formal estimates use baseline-only predictors below.</w:t>
      </w:r>
    </w:p>
    <w:p>
      <w:pPr>
        <w:pStyle w:val="CaptionedFigure"/>
      </w:pPr>
      <w:r>
        <w:drawing>
          <wp:inline>
            <wp:extent cx="3630076" cy="2024524"/>
            <wp:effectExtent b="0" l="0" r="0" t="0"/>
            <wp:docPr descr="Figure 1" title="" id="37" name="Picture"/>
            <a:graphic>
              <a:graphicData uri="http://schemas.openxmlformats.org/drawingml/2006/picture">
                <pic:pic>
                  <pic:nvPicPr>
                    <pic:cNvPr descr="figures/fig1_conceptual_model.png" id="38" name="Picture"/>
                    <pic:cNvPicPr>
                      <a:picLocks noChangeArrowheads="1" noChangeAspect="1"/>
                    </pic:cNvPicPr>
                  </pic:nvPicPr>
                  <pic:blipFill>
                    <a:blip r:embed="rId36"/>
                    <a:stretch>
                      <a:fillRect/>
                    </a:stretch>
                  </pic:blipFill>
                  <pic:spPr bwMode="auto">
                    <a:xfrm>
                      <a:off x="0" y="0"/>
                      <a:ext cx="3630076" cy="2024524"/>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A behavioral-marker model of youth-sport disengagement. The diagram shows the relationship being tested: theoretical mechanisms hypothesized by the Sport Commitment Model and the role-exit / withdrawal-as-process tradition (left) are not directly observed, but are predicted to leave a footprint in measurable competition behavior (centre), which precedes the outcome of active senior retention (right).</w:t>
      </w:r>
    </w:p>
    <w:p>
      <w:pPr>
        <w:pStyle w:val="CaptionedFigure"/>
      </w:pPr>
      <w:r>
        <w:drawing>
          <wp:inline>
            <wp:extent cx="3397653" cy="2152968"/>
            <wp:effectExtent b="0" l="0" r="0" t="0"/>
            <wp:docPr descr="Figure 2" title="" id="40" name="Picture"/>
            <a:graphic>
              <a:graphicData uri="http://schemas.openxmlformats.org/drawingml/2006/picture">
                <pic:pic>
                  <pic:nvPicPr>
                    <pic:cNvPr descr="figures/fig2_volume_trajectory.png" id="41" name="Picture"/>
                    <pic:cNvPicPr>
                      <a:picLocks noChangeArrowheads="1" noChangeAspect="1"/>
                    </pic:cNvPicPr>
                  </pic:nvPicPr>
                  <pic:blipFill>
                    <a:blip r:embed="rId39"/>
                    <a:stretch>
                      <a:fillRect/>
                    </a:stretch>
                  </pic:blipFill>
                  <pic:spPr bwMode="auto">
                    <a:xfrm>
                      <a:off x="0" y="0"/>
                      <a:ext cx="3397653" cy="2152968"/>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retainers and future dropouts already differ at ages 13–14; the gap widens further across the age-14-to-15 transition.</w:t>
      </w:r>
    </w:p>
    <w:bookmarkEnd w:id="42"/>
    <w:bookmarkStart w:id="46"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Future retainers and future dropouts already differ at ages 13–14; the gap widens further across the age-14-to-15 transition.</w:t>
      </w:r>
    </w:p>
    <w:p>
      <w:r>
        <w:pict>
          <v:rect style="width:0;height:1.5pt" o:hralign="center" o:hrstd="t" o:hr="t"/>
        </w:pict>
      </w:r>
    </w:p>
    <w:p>
      <w:pPr>
        <w:pStyle w:val="CaptionedFigure"/>
      </w:pPr>
      <w:r>
        <w:drawing>
          <wp:inline>
            <wp:extent cx="3250860" cy="2241656"/>
            <wp:effectExtent b="0" l="0" r="0" t="0"/>
            <wp:docPr descr="Figure 3" title="" id="44" name="Picture"/>
            <a:graphic>
              <a:graphicData uri="http://schemas.openxmlformats.org/drawingml/2006/picture">
                <pic:pic>
                  <pic:nvPicPr>
                    <pic:cNvPr descr="figures/fig3_km_vol_quintile.png" id="45" name="Picture"/>
                    <pic:cNvPicPr>
                      <a:picLocks noChangeArrowheads="1" noChangeAspect="1"/>
                    </pic:cNvPicPr>
                  </pic:nvPicPr>
                  <pic:blipFill>
                    <a:blip r:embed="rId43"/>
                    <a:stretch>
                      <a:fillRect/>
                    </a:stretch>
                  </pic:blipFill>
                  <pic:spPr bwMode="auto">
                    <a:xfrm>
                      <a:off x="0" y="0"/>
                      <a:ext cx="3250860" cy="224165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Athletes in the highest stratum retained 71% senior activity at follow-up year 14; athletes in the lowest stratum retained 4%. (Note: this descriptive stratification uses post-baseline measurement; primary effect estimates in Table 3 use only baseline-window predictors.)</w:t>
      </w:r>
    </w:p>
    <w:bookmarkEnd w:id="46"/>
    <w:bookmarkStart w:id="47"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provided the largest incremental contribution to prospective discrimination of senior retention 6–14 years later: OR = 2.40 per SD (95% CI [2.08, 2.76],</w:t>
      </w:r>
      <w:r>
        <w:rPr>
          <w:b/>
          <w:bCs/>
        </w:rPr>
        <w:t xml:space="preserve"> </w:t>
      </w:r>
      <w:r>
        <w:rPr>
          <w:b/>
          <w:bCs/>
          <w:i/>
          <w:iCs/>
        </w:rPr>
        <w:t xml:space="preserve">p</w:t>
      </w:r>
      <w:r>
        <w:rPr>
          <w:b/>
          <w:bCs/>
        </w:rPr>
        <w:t xml:space="preserve"> </w:t>
      </w:r>
      <w:r>
        <w:rPr>
          <w:b/>
          <w:bCs/>
        </w:rPr>
        <w:t xml:space="preserve">&lt; .001), cross-validated AUC = 0.751.</w:t>
      </w:r>
      <w:r>
        <w:t xml:space="preserve"> </w:t>
      </w:r>
      <w:r>
        <w:t xml:space="preserve">Models for</w:t>
      </w:r>
      <w:r>
        <w:t xml:space="preserve"> </w:t>
      </w:r>
      <w:r>
        <w:rPr>
          <w:i/>
          <w:iCs/>
        </w:rPr>
        <w:t xml:space="preserve">active senior status</w:t>
      </w:r>
      <w:r>
        <w:t xml:space="preserve"> </w:t>
      </w:r>
      <w:r>
        <w:t xml:space="preserve">were fitted stepwise with baseline-only predictors (avoiding look-ahead; Table 3): CV-AUC rose 0.541 (sex) → 0.607 (+ Tyrving) → 0.600 (+ HHI) → 0.751 (+ volume), with well-calibrated predictions (calibration slope 0.96, Brier 0.122; Supplementary Table S23). Once volume was entered, HHI became significantly associated with retention (OR = 1.36 per SD, 95% CI [1.17, 1.57],</w:t>
      </w:r>
      <w:r>
        <w:t xml:space="preserve"> </w:t>
      </w:r>
      <w:r>
        <w:rPr>
          <w:i/>
          <w:iCs/>
        </w:rPr>
        <w:t xml:space="preserve">p</w:t>
      </w:r>
      <w:r>
        <w:t xml:space="preserve"> </w:t>
      </w:r>
      <w:r>
        <w:t xml:space="preserve">&lt; .001) —</w:t>
      </w:r>
      <w:r>
        <w:t xml:space="preserve"> </w:t>
      </w:r>
      <w:r>
        <w:rPr>
          <w:i/>
          <w:iCs/>
        </w:rPr>
        <w:t xml:space="preserve">higher</w:t>
      </w:r>
      <w:r>
        <w:t xml:space="preserve"> </w:t>
      </w:r>
      <w:r>
        <w:t xml:space="preserve">concentration in fewer event categories predicted</w:t>
      </w:r>
      <w:r>
        <w:t xml:space="preserve"> </w:t>
      </w:r>
      <w:r>
        <w:rPr>
          <w:i/>
          <w:iCs/>
        </w:rPr>
        <w:t xml:space="preserve">higher</w:t>
      </w:r>
      <w:r>
        <w:t xml:space="preserve"> </w:t>
      </w:r>
      <w:r>
        <w:t xml:space="preserve">retention (§3.9; §4.6).</w:t>
      </w:r>
    </w:p>
    <w:bookmarkEnd w:id="47"/>
    <w:bookmarkStart w:id="4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0.72</w:t>
            </w:r>
          </w:p>
        </w:tc>
        <w:tc>
          <w:tcPr/>
          <w:p>
            <w:pPr>
              <w:pStyle w:val="Compact"/>
            </w:pPr>
            <w:r>
              <w:t xml:space="preserve">[0.56, 0.93]</w:t>
            </w:r>
          </w:p>
        </w:tc>
        <w:tc>
          <w:tcPr/>
          <w:p>
            <w:pPr>
              <w:pStyle w:val="Compact"/>
            </w:pPr>
            <w:r>
              <w:t xml:space="preserve">.012</w:t>
            </w:r>
          </w:p>
        </w:tc>
        <w:tc>
          <w:tcPr/>
          <w:p>
            <w:pPr>
              <w:pStyle w:val="Compact"/>
            </w:pPr>
            <w:r>
              <w:t xml:space="preserve">0.541 (±0.023)</w:t>
            </w:r>
          </w:p>
        </w:tc>
        <w:tc>
          <w:tcPr/>
          <w:p>
            <w:pPr>
              <w:pStyle w:val="Compact"/>
            </w:pPr>
            <w:r>
              <w:t xml:space="preserve">1,704</w:t>
            </w:r>
          </w:p>
        </w:tc>
      </w:tr>
      <w:tr>
        <w:tc>
          <w:tcPr/>
          <w:p>
            <w:pPr>
              <w:pStyle w:val="Compact"/>
            </w:pPr>
            <w:r>
              <w:t xml:space="preserve">L2: + Performance</w:t>
            </w:r>
          </w:p>
        </w:tc>
        <w:tc>
          <w:tcPr/>
          <w:p>
            <w:pPr>
              <w:pStyle w:val="Compact"/>
            </w:pPr>
            <w:r>
              <w:t xml:space="preserve">Female</w:t>
            </w:r>
          </w:p>
        </w:tc>
        <w:tc>
          <w:tcPr/>
          <w:p>
            <w:pPr>
              <w:pStyle w:val="Compact"/>
            </w:pPr>
            <w:r>
              <w:t xml:space="preserve">0.68</w:t>
            </w:r>
          </w:p>
        </w:tc>
        <w:tc>
          <w:tcPr/>
          <w:p>
            <w:pPr>
              <w:pStyle w:val="Compact"/>
            </w:pPr>
            <w:r>
              <w:t xml:space="preserve">[0.52, 0.88]</w:t>
            </w:r>
          </w:p>
        </w:tc>
        <w:tc>
          <w:tcPr/>
          <w:p>
            <w:pPr>
              <w:pStyle w:val="Compact"/>
            </w:pPr>
            <w:r>
              <w:t xml:space="preserve">.003</w:t>
            </w:r>
          </w:p>
        </w:tc>
        <w:tc>
          <w:tcPr/>
          <w:p>
            <w:pPr>
              <w:pStyle w:val="Compact"/>
            </w:pPr>
            <w:r>
              <w:t xml:space="preserve">0.607 (±0.014)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r>
              <w:t xml:space="preserve">L3: + Specialization</w:t>
            </w:r>
          </w:p>
        </w:tc>
        <w:tc>
          <w:tcPr/>
          <w:p>
            <w:pPr>
              <w:pStyle w:val="Compact"/>
            </w:pPr>
            <w:r>
              <w:t xml:space="preserve">Female</w:t>
            </w:r>
          </w:p>
        </w:tc>
        <w:tc>
          <w:tcPr/>
          <w:p>
            <w:pPr>
              <w:pStyle w:val="Compact"/>
            </w:pPr>
            <w:r>
              <w:t xml:space="preserve">0.68</w:t>
            </w:r>
          </w:p>
        </w:tc>
        <w:tc>
          <w:tcPr/>
          <w:p>
            <w:pPr>
              <w:pStyle w:val="Compact"/>
            </w:pPr>
            <w:r>
              <w:t xml:space="preserve">[0.53, 0.88]</w:t>
            </w:r>
          </w:p>
        </w:tc>
        <w:tc>
          <w:tcPr/>
          <w:p>
            <w:pPr>
              <w:pStyle w:val="Compact"/>
            </w:pPr>
            <w:r>
              <w:t xml:space="preserve">.004</w:t>
            </w:r>
          </w:p>
        </w:tc>
        <w:tc>
          <w:tcPr/>
          <w:p>
            <w:pPr>
              <w:pStyle w:val="Compact"/>
            </w:pPr>
            <w:r>
              <w:t xml:space="preserve">0.600 (±0.019)</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1.09</w:t>
            </w:r>
          </w:p>
        </w:tc>
        <w:tc>
          <w:tcPr/>
          <w:p>
            <w:pPr>
              <w:pStyle w:val="Compact"/>
            </w:pPr>
            <w:r>
              <w:t xml:space="preserve">[0.95, 1.24]</w:t>
            </w:r>
          </w:p>
        </w:tc>
        <w:tc>
          <w:tcPr/>
          <w:p>
            <w:pPr>
              <w:pStyle w:val="Compact"/>
            </w:pPr>
            <w:r>
              <w:t xml:space="preserve">.238</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0.61</w:t>
            </w:r>
          </w:p>
        </w:tc>
        <w:tc>
          <w:tcPr/>
          <w:p>
            <w:pPr>
              <w:pStyle w:val="Compact"/>
            </w:pPr>
            <w:r>
              <w:t xml:space="preserve">[0.46, 0.80]</w:t>
            </w:r>
          </w:p>
        </w:tc>
        <w:tc>
          <w:tcPr/>
          <w:p>
            <w:pPr>
              <w:pStyle w:val="Compact"/>
            </w:pPr>
            <w:r>
              <w:t xml:space="preserve">&lt; .001</w:t>
            </w:r>
          </w:p>
        </w:tc>
        <w:tc>
          <w:tcPr/>
          <w:p>
            <w:pPr>
              <w:pStyle w:val="Compact"/>
            </w:pPr>
            <w:r>
              <w:rPr>
                <w:b/>
                <w:bCs/>
              </w:rPr>
              <w:t xml:space="preserve">0.751</w:t>
            </w:r>
            <w:r>
              <w:t xml:space="preserve"> </w:t>
            </w:r>
            <w:r>
              <w:t xml:space="preserve">(±0.026)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.144</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1.36</w:t>
            </w:r>
          </w:p>
        </w:tc>
        <w:tc>
          <w:tcPr/>
          <w:p>
            <w:pPr>
              <w:pStyle w:val="Compact"/>
            </w:pPr>
            <w:r>
              <w:t xml:space="preserve">[1.17, 1.57]</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2.40</w:t>
            </w:r>
          </w:p>
        </w:tc>
        <w:tc>
          <w:tcPr/>
          <w:p>
            <w:pPr>
              <w:pStyle w:val="Compact"/>
            </w:pPr>
            <w:r>
              <w:rPr>
                <w:b/>
                <w:bCs/>
              </w:rPr>
              <w:t xml:space="preserve">[2.08, 2.76]</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Pre-milestone volume is the sum of distinct meets attended at ages 13 and 14. Continuous covariates are z-standardized so ORs reflect per-SD effects. Cross-validated AUC uses 5-fold stratified resampling. The pre-milestone volume coefficient is the dominant single-step gain (AUC 0.600 → 0.751). HHI becomes significant once volume is entered (mutual adjustment); the direction indicates that higher concentration in fewer event categories is associated with higher retention odds (see also Discussion 4.6).</w:t>
      </w:r>
    </w:p>
    <w:p>
      <w:r>
        <w:pict>
          <v:rect style="width:0;height:1.5pt" o:hralign="center" o:hrstd="t" o:hr="t"/>
        </w:pict>
      </w:r>
    </w:p>
    <w:bookmarkEnd w:id="48"/>
    <w:bookmarkStart w:id="49" w:name="Xcf7fb286ca263ede1581eee045f86cefba4829b"/>
    <w:p>
      <w:pPr>
        <w:pStyle w:val="Heading2"/>
      </w:pPr>
      <w:r>
        <w:t xml:space="preserve">3.4 Structural and club-level controls do not change the picture</w:t>
      </w:r>
    </w:p>
    <w:p>
      <w:pPr>
        <w:pStyle w:val="FirstParagraph"/>
      </w:pPr>
      <w:r>
        <w:t xml:space="preserve">Adding region, birth-quarter indicators (Q1/Q4), and standardized club size left the volume coefficient unchanged (OR = 2.40 with and without controls), with no structural covariate significant (all</w:t>
      </w:r>
      <w:r>
        <w:t xml:space="preserve"> </w:t>
      </w:r>
      <w:r>
        <w:rPr>
          <w:i/>
          <w:iCs/>
        </w:rPr>
        <w:t xml:space="preserve">p</w:t>
      </w:r>
      <w:r>
        <w:t xml:space="preserve"> </w:t>
      </w:r>
      <w:r>
        <w:t xml:space="preserve">&gt; .14; Supplementary Table S13). A quarter of the variance in pre-milestone volume lies between clubs (ICC = 0.25 across 277 clubs), but the effect is not a club-supply artifact: with club random intercepts the coefficient was, if anything, larger (OR = 2.58, 95% CI [2.27, 2.93]; Supplementary Table S22) — the association holds when comparing athletes within the same club.</w:t>
      </w:r>
    </w:p>
    <w:bookmarkEnd w:id="49"/>
    <w:bookmarkStart w:id="50" w:name="X0bf9bcda651dcf6366690eb6a3e0036823f7e4f"/>
    <w:p>
      <w:pPr>
        <w:pStyle w:val="Heading2"/>
      </w:pPr>
      <w:r>
        <w:t xml:space="preserve">3.5 Progressive pull-back versus baseline heterogeneity</w:t>
      </w:r>
    </w:p>
    <w:p>
      <w:pPr>
        <w:pStyle w:val="FirstParagraph"/>
      </w:pPr>
      <w:r>
        <w:rPr>
          <w:b/>
          <w:bCs/>
        </w:rPr>
        <w:t xml:space="preserve">Early behavioral heterogeneity and within-athlete pull-back contribute independently — they are not substitutes.</w:t>
      </w:r>
      <w:r>
        <w:t xml:space="preserve"> </w:t>
      </w:r>
      <w:r>
        <w:t xml:space="preserve">Three analyses separate the two readings of Figure 2.</w:t>
      </w:r>
    </w:p>
    <w:p>
      <w:pPr>
        <w:pStyle w:val="BodyText"/>
      </w:pPr>
      <w:r>
        <w:t xml:space="preserve">First, level and change. Among athletes still active at age 14 (1,914; complete-case model n = 1,549), the age-14 volume level (OR = 2.79 per SD, 95% CI [2.37, 3.28]) and the change from age 14 to 15 (OR = 2.44, 95% CI [2.10, 2.83]; both</w:t>
      </w:r>
      <w:r>
        <w:t xml:space="preserve"> </w:t>
      </w:r>
      <w:r>
        <w:rPr>
          <w:i/>
          <w:iCs/>
        </w:rPr>
        <w:t xml:space="preserve">p</w:t>
      </w:r>
      <w:r>
        <w:t xml:space="preserve"> </w:t>
      </w:r>
      <w:r>
        <w:t xml:space="preserve">&lt; .001) contributed independently; adding change more than doubled pseudo-</w:t>
      </w:r>
      <w:r>
        <w:rPr>
          <w:i/>
          <w:iCs/>
        </w:rPr>
        <w:t xml:space="preserve">R</w:t>
      </w:r>
      <w:r>
        <w:t xml:space="preserve">² (0.113 → 0.227; Table 4).</w:t>
      </w:r>
    </w:p>
    <w:p>
      <w:pPr>
        <w:pStyle w:val="BodyText"/>
      </w:pPr>
      <w:r>
        <w:t xml:space="preserve">Second, because a change score spanning the exit could conflate pull-back with the exit itself, we repeated the test where no exit can contaminate it: among athletes still competing at age 16 (≥2 results; n = 1,075), volume at 15 (OR = 3.04, 95% CI [2.55, 3.62]) and change from 15 to 16 (OR = 1.88, 95% CI [1.60, 2.20]; both</w:t>
      </w:r>
      <w:r>
        <w:t xml:space="preserve"> </w:t>
      </w:r>
      <w:r>
        <w:rPr>
          <w:i/>
          <w:iCs/>
        </w:rPr>
        <w:t xml:space="preserve">p</w:t>
      </w:r>
      <w:r>
        <w:t xml:space="preserve"> </w:t>
      </w:r>
      <w:r>
        <w:t xml:space="preserve">&lt; .001) predicted senior status four or more years later (CV-AUC = 0.758) — decline predicts exit among athletes who are all, at measurement, still active.</w:t>
      </w:r>
    </w:p>
    <w:p>
      <w:pPr>
        <w:pStyle w:val="BodyText"/>
      </w:pPr>
      <w:r>
        <w:t xml:space="preserve">Third, exit-aligned trajectories. Aligned to each dropout’s own final active season (n = 1,139 with final seasons at ages 15–19), median volumes at T−3, T−2, T−1, and T were 12, 10, 9, and 4 meets — a within-athlete taper, not a cliff. 95% were still competing in their penultimate season; among final seasons at 16+ (n = 795), 74% showed a</w:t>
      </w:r>
      <w:r>
        <w:t xml:space="preserve"> </w:t>
      </w:r>
      <w:r>
        <w:rPr>
          <w:i/>
          <w:iCs/>
        </w:rPr>
        <w:t xml:space="preserve">reduced-but-nonzero</w:t>
      </w:r>
      <w:r>
        <w:t xml:space="preserve"> </w:t>
      </w:r>
      <w:r>
        <w:t xml:space="preserve">penultimate season relative to their earlier personal peak, 6% a gap year, and only 19% exited directly from peak volume (Supplementary Table S19).</w:t>
      </w:r>
    </w:p>
    <w:bookmarkEnd w:id="50"/>
    <w:bookmarkStart w:id="51" w:name="Xead665dc21eb92f77ea82cce847e701a62b1bef"/>
    <w:p>
      <w:pPr>
        <w:pStyle w:val="Heading2"/>
      </w:pPr>
      <w:r>
        <w:t xml:space="preserve">Table 4. Pull-back versus baseline heterogeneity: volume level and within-athlete change</w:t>
      </w:r>
    </w:p>
    <w:p>
      <w:pPr>
        <w:pStyle w:val="FirstParagraph"/>
      </w:pPr>
      <w:r>
        <w:t xml:space="preserve">Athletes still active (≥1 result) at age 14: 1,914; fitted models are complete-case on Tyrving, n = 1,549 (Tyrving missingness is concentrated among early-inactive athletes; see Supplementary Table S12).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0.61</w:t>
            </w:r>
          </w:p>
        </w:tc>
        <w:tc>
          <w:tcPr/>
          <w:p>
            <w:pPr>
              <w:pStyle w:val="Compact"/>
            </w:pPr>
            <w:r>
              <w:t xml:space="preserve">[0.46,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.167</w:t>
            </w:r>
          </w:p>
        </w:tc>
      </w:tr>
      <w:tr>
        <w:tc>
          <w:tcPr/>
          <w:p>
            <w:pPr>
              <w:pStyle w:val="Compact"/>
            </w:pPr>
          </w:p>
        </w:tc>
        <w:tc>
          <w:tcPr/>
          <w:p>
            <w:pPr>
              <w:pStyle w:val="Compact"/>
            </w:pPr>
            <w:r>
              <w:rPr>
                <w:b/>
                <w:bCs/>
              </w:rPr>
              <w:t xml:space="preserve">Volume at age 14 (z)</w:t>
            </w:r>
          </w:p>
        </w:tc>
        <w:tc>
          <w:tcPr/>
          <w:p>
            <w:pPr>
              <w:pStyle w:val="Compact"/>
            </w:pPr>
            <w:r>
              <w:rPr>
                <w:b/>
                <w:bCs/>
              </w:rPr>
              <w:t xml:space="preserve">2.23</w:t>
            </w:r>
          </w:p>
        </w:tc>
        <w:tc>
          <w:tcPr/>
          <w:p>
            <w:pPr>
              <w:pStyle w:val="Compact"/>
            </w:pPr>
            <w:r>
              <w:rPr>
                <w:b/>
                <w:bCs/>
              </w:rPr>
              <w:t xml:space="preserve">[1.94, 2.57]</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0.60</w:t>
            </w:r>
          </w:p>
        </w:tc>
        <w:tc>
          <w:tcPr/>
          <w:p>
            <w:pPr>
              <w:pStyle w:val="Compact"/>
            </w:pPr>
            <w:r>
              <w:t xml:space="preserve">[0.44,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1.01</w:t>
            </w:r>
          </w:p>
        </w:tc>
        <w:tc>
          <w:tcPr/>
          <w:p>
            <w:pPr>
              <w:pStyle w:val="Compact"/>
            </w:pPr>
            <w:r>
              <w:t xml:space="preserve">[0.86, 1.19]</w:t>
            </w:r>
          </w:p>
        </w:tc>
        <w:tc>
          <w:tcPr/>
          <w:p>
            <w:pPr>
              <w:pStyle w:val="Compact"/>
            </w:pPr>
            <w:r>
              <w:t xml:space="preserve">.882</w:t>
            </w:r>
          </w:p>
        </w:tc>
      </w:tr>
      <w:tr>
        <w:tc>
          <w:tcPr/>
          <w:p>
            <w:pPr>
              <w:pStyle w:val="Compact"/>
            </w:pPr>
          </w:p>
        </w:tc>
        <w:tc>
          <w:tcPr/>
          <w:p>
            <w:pPr>
              <w:pStyle w:val="Compact"/>
            </w:pPr>
            <w:r>
              <w:rPr>
                <w:b/>
                <w:bCs/>
              </w:rPr>
              <w:t xml:space="preserve">Volume at age 14 (z)</w:t>
            </w:r>
          </w:p>
        </w:tc>
        <w:tc>
          <w:tcPr/>
          <w:p>
            <w:pPr>
              <w:pStyle w:val="Compact"/>
            </w:pPr>
            <w:r>
              <w:rPr>
                <w:b/>
                <w:bCs/>
              </w:rPr>
              <w:t xml:space="preserve">2.79</w:t>
            </w:r>
          </w:p>
        </w:tc>
        <w:tc>
          <w:tcPr/>
          <w:p>
            <w:pPr>
              <w:pStyle w:val="Compact"/>
            </w:pPr>
            <w:r>
              <w:rPr>
                <w:b/>
                <w:bCs/>
              </w:rPr>
              <w:t xml:space="preserve">[2.37, 3.28]</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2.44</w:t>
            </w:r>
          </w:p>
        </w:tc>
        <w:tc>
          <w:tcPr/>
          <w:p>
            <w:pPr>
              <w:pStyle w:val="Compact"/>
            </w:pPr>
            <w:r>
              <w:rPr>
                <w:b/>
                <w:bCs/>
              </w:rPr>
              <w:t xml:space="preserve">[2.10, 2.83]</w:t>
            </w:r>
          </w:p>
        </w:tc>
        <w:tc>
          <w:tcPr/>
          <w:p>
            <w:pPr>
              <w:pStyle w:val="Compact"/>
            </w:pPr>
            <w:r>
              <w:rPr>
                <w:b/>
                <w:bCs/>
              </w:rPr>
              <w:t xml:space="preserve">&lt; .001</w:t>
            </w:r>
          </w:p>
        </w:tc>
      </w:tr>
    </w:tbl>
    <w:p>
      <w:pPr>
        <w:pStyle w:val="BodyText"/>
      </w:pPr>
      <w:r>
        <w:rPr>
          <w:i/>
          <w:iCs/>
        </w:rPr>
        <w:t xml:space="preserve">Note.</w:t>
      </w:r>
      <w:r>
        <w:t xml:space="preserve"> </w:t>
      </w:r>
      <w:r>
        <w:t xml:space="preserve">Pseudo-</w:t>
      </w:r>
      <w:r>
        <w:rPr>
          <w:i/>
          <w:iCs/>
        </w:rPr>
        <w:t xml:space="preserve">R</w:t>
      </w:r>
      <w:r>
        <w:t xml:space="preserve">² rose from 0.113 (M1) to 0.227 (M2) — within-athlete change adds substantial information conditional on baseline level. A one-SD greater decline from age 14 to age 15 was associated with 2.4-times lower retention odds, conditional on level at age 14. Both baseline level and within-athlete pull-back contribute substantially and independently.</w:t>
      </w:r>
    </w:p>
    <w:p>
      <w:r>
        <w:pict>
          <v:rect style="width:0;height:1.5pt" o:hralign="center" o:hrstd="t" o:hr="t"/>
        </w:pict>
      </w:r>
    </w:p>
    <w:bookmarkEnd w:id="51"/>
    <w:bookmarkStart w:id="52" w:name="time-aligned-behavior-vs.-performance"/>
    <w:p>
      <w:pPr>
        <w:pStyle w:val="Heading2"/>
      </w:pPr>
      <w:r>
        <w:t xml:space="preserve">3.6 Time-aligned behavior vs. performance</w:t>
      </w:r>
    </w:p>
    <w:p>
      <w:pPr>
        <w:pStyle w:val="FirstParagraph"/>
      </w:pPr>
      <w:r>
        <w:t xml:space="preserve">In a fully time-aligned comparison — behavior and performance both measured at ages 13–14, removing any temporal advantage — behavior still discriminates better: AUC = 0.607 for sex + baseline Tyrving, 0.740 for sex + ages-13–14 volume, 0.737 for both combined (Supplementary Table S15). A within-baseline performance</w:t>
      </w:r>
      <w:r>
        <w:t xml:space="preserve"> </w:t>
      </w:r>
      <w:r>
        <w:rPr>
          <w:i/>
          <w:iCs/>
        </w:rPr>
        <w:t xml:space="preserve">trajectory</w:t>
      </w:r>
      <w:r>
        <w:t xml:space="preserve"> </w:t>
      </w:r>
      <w:r>
        <w:t xml:space="preserve">(Tyrving change from 13 to 14) raised the performance-only AUC only to 0.640 (n = 1,350) — still well short of volume.</w:t>
      </w:r>
    </w:p>
    <w:p>
      <w:pPr>
        <w:pStyle w:val="BodyText"/>
      </w:pPr>
      <w:r>
        <w:t xml:space="preserve">Competition volume and performance were positively but moderately correlated (pre-milestone volume vs. baseline Tyrving: Spearman ρ = .29; vs. peak Tyrving before age 15: ρ = .45; milestone-window volume vs. age-15 Tyrving: ρ = .48). The volume–retention association also held</w:t>
      </w:r>
      <w:r>
        <w:t xml:space="preserve"> </w:t>
      </w:r>
      <w:r>
        <w:rPr>
          <w:i/>
          <w:iCs/>
        </w:rPr>
        <w:t xml:space="preserve">within</w:t>
      </w:r>
      <w:r>
        <w:t xml:space="preserve"> </w:t>
      </w:r>
      <w:r>
        <w:t xml:space="preserve">performance strata: splitting the cohort by baseline-Tyrving quartile and pre-milestone volume (above/below median), above-median volume was associated with higher senior retention in every quartile — 16.3% vs. 10.0% in the lowest-performing quartile, 18.0% vs. 4.2%, 25.8% vs. 4.7%, and 34.1% vs. 13.2% in the highest. Volume is related to, but clearly not reducible to, performance level.</w:t>
      </w:r>
    </w:p>
    <w:bookmarkEnd w:id="52"/>
    <w:bookmarkStart w:id="53" w:name="X5edab9ffdb59cfb1a6c0e842c5a243c15ec97ab"/>
    <w:p>
      <w:pPr>
        <w:pStyle w:val="Heading2"/>
      </w:pPr>
      <w:r>
        <w:t xml:space="preserve">3.7 Landmark analysis: post-baseline behavior among continuing athletes</w:t>
      </w:r>
    </w:p>
    <w:p>
      <w:pPr>
        <w:pStyle w:val="FirstParagraph"/>
      </w:pPr>
      <w:r>
        <w:t xml:space="preserve">Conditioning on athletes active at age 16 (≥1 result; n = 1,167), volume across ages 15–16 was the largest contributor to subsequent cessation risk (HR = 0.60 per SD, 95% CI [0.54, 0.66], C-index = 0.735; complete-case n = 960; Supplementary Table S8); excluding athletes with milestone volume = 0 gave HR = 0.51 (Supplementary Table S11). The baseline-only Cox model is in Supplementary Table S16 and a period-specific decomposition in Table 5. The baseline-start Cox model with post-baseline covariates is not a primary estimate (predictor and at-risk window overlap); its contamination-free analogue is the change model in Section 3.5.</w:t>
      </w:r>
    </w:p>
    <w:bookmarkEnd w:id="53"/>
    <w:bookmarkStart w:id="54" w:name="prospective-early-warning-thresholds"/>
    <w:p>
      <w:pPr>
        <w:pStyle w:val="Heading2"/>
      </w:pPr>
      <w:r>
        <w:t xml:space="preserve">3.8 Prospective early-warning thresholds</w:t>
      </w:r>
    </w:p>
    <w:p>
      <w:pPr>
        <w:pStyle w:val="FirstParagraph"/>
      </w:pPr>
      <w:r>
        <w:t xml:space="preserve">Because the primary analysis uses only baseline-window data, a prospective rule can be evaluated at the end of the age-14 season (Table 6, with bootstrap CIs). At a moderate threshold (vol &lt; 10 meets across ages 13–14, flagging 26.4%), senior retention was 5.7% among flagged athletes versus 20.2% among unflagged — a 3.5-fold difference in retention prospects (PPV = 0.94, sensitivity = 0.30). Lower thresholds (&lt; 5; 9.3% flagged) suit targeted outreach, higher (&lt; 15; 43.1%) broaden the screen. Two properties discipline use: the high PPV partly reflects the 84% non-retention base rate (a ~10-point precision gain over base-rate prediction), and NPV = 0.20 means unflagged athletes are</w:t>
      </w:r>
      <w:r>
        <w:t xml:space="preserve"> </w:t>
      </w:r>
      <w:r>
        <w:rPr>
          <w:i/>
          <w:iCs/>
        </w:rPr>
        <w:t xml:space="preserve">not</w:t>
      </w:r>
      <w:r>
        <w:t xml:space="preserve"> </w:t>
      </w:r>
      <w:r>
        <w:t xml:space="preserve">“safe”</w:t>
      </w:r>
      <w:r>
        <w:t xml:space="preserve"> </w:t>
      </w:r>
      <w:r>
        <w:t xml:space="preserve">— roughly four in five of them also fail to retain. The flag concentrates risk; it certifies no one’s continuation.</w:t>
      </w:r>
    </w:p>
    <w:bookmarkEnd w:id="54"/>
    <w:bookmarkStart w:id="55"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t xml:space="preserve">9.3</w:t>
            </w:r>
          </w:p>
        </w:tc>
        <w:tc>
          <w:tcPr/>
          <w:p>
            <w:pPr>
              <w:pStyle w:val="Compact"/>
            </w:pPr>
            <w:r>
              <w:t xml:space="preserve">0.10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t xml:space="preserve">7.1% [3.6, 11.3]</w:t>
            </w:r>
          </w:p>
        </w:tc>
        <w:tc>
          <w:tcPr/>
          <w:p>
            <w:pPr>
              <w:pStyle w:val="Compact"/>
            </w:pPr>
            <w:r>
              <w:t xml:space="preserve">17.3% [15.7, 19.1]</w:t>
            </w:r>
          </w:p>
        </w:tc>
      </w:tr>
      <w:tr>
        <w:tc>
          <w:tcPr/>
          <w:p>
            <w:pPr>
              <w:pStyle w:val="Compact"/>
            </w:pPr>
            <w:r>
              <w:t xml:space="preserve">8 meets</w:t>
            </w:r>
          </w:p>
        </w:tc>
        <w:tc>
          <w:tcPr/>
          <w:p>
            <w:pPr>
              <w:pStyle w:val="Compact"/>
            </w:pPr>
            <w:r>
              <w:t xml:space="preserve">19.8</w:t>
            </w:r>
          </w:p>
        </w:tc>
        <w:tc>
          <w:tcPr/>
          <w:p>
            <w:pPr>
              <w:pStyle w:val="Compact"/>
            </w:pPr>
            <w:r>
              <w:t xml:space="preserve">0.22 [0.20, 0.24]</w:t>
            </w:r>
          </w:p>
        </w:tc>
        <w:tc>
          <w:tcPr/>
          <w:p>
            <w:pPr>
              <w:pStyle w:val="Compact"/>
            </w:pPr>
            <w:r>
              <w:t xml:space="preserve">0.93 [0.90, 0.96]</w:t>
            </w:r>
          </w:p>
        </w:tc>
        <w:tc>
          <w:tcPr/>
          <w:p>
            <w:pPr>
              <w:pStyle w:val="Compact"/>
            </w:pPr>
            <w:r>
              <w:rPr>
                <w:b/>
                <w:bCs/>
              </w:rPr>
              <w:t xml:space="preserve">0.94</w:t>
            </w:r>
            <w:r>
              <w:t xml:space="preserve"> </w:t>
            </w:r>
            <w:r>
              <w:t xml:space="preserve">[0.92, 0.96]</w:t>
            </w:r>
          </w:p>
        </w:tc>
        <w:tc>
          <w:tcPr/>
          <w:p>
            <w:pPr>
              <w:pStyle w:val="Compact"/>
            </w:pPr>
            <w:r>
              <w:t xml:space="preserve">0.19 [0.17, 0.21]</w:t>
            </w:r>
          </w:p>
        </w:tc>
        <w:tc>
          <w:tcPr/>
          <w:p>
            <w:pPr>
              <w:pStyle w:val="Compact"/>
            </w:pPr>
            <w:r>
              <w:t xml:space="preserve">5.7% [3.6, 7.9]</w:t>
            </w:r>
          </w:p>
        </w:tc>
        <w:tc>
          <w:tcPr/>
          <w:p>
            <w:pPr>
              <w:pStyle w:val="Compact"/>
            </w:pPr>
            <w:r>
              <w:t xml:space="preserve">19.0% [17.2, 21.0]</w:t>
            </w:r>
          </w:p>
        </w:tc>
      </w:tr>
      <w:tr>
        <w:tc>
          <w:tcPr/>
          <w:p>
            <w:pPr>
              <w:pStyle w:val="Compact"/>
            </w:pPr>
            <w:r>
              <w:t xml:space="preserve">10 meets</w:t>
            </w:r>
          </w:p>
        </w:tc>
        <w:tc>
          <w:tcPr/>
          <w:p>
            <w:pPr>
              <w:pStyle w:val="Compact"/>
            </w:pPr>
            <w:r>
              <w:t xml:space="preserve">26.4</w:t>
            </w:r>
          </w:p>
        </w:tc>
        <w:tc>
          <w:tcPr/>
          <w:p>
            <w:pPr>
              <w:pStyle w:val="Compact"/>
            </w:pPr>
            <w:r>
              <w:t xml:space="preserve">0.30 [0.28, 0.32]</w:t>
            </w:r>
          </w:p>
        </w:tc>
        <w:tc>
          <w:tcPr/>
          <w:p>
            <w:pPr>
              <w:pStyle w:val="Compact"/>
            </w:pPr>
            <w:r>
              <w:t xml:space="preserve">0.91 [0.88, 0.94]</w:t>
            </w:r>
          </w:p>
        </w:tc>
        <w:tc>
          <w:tcPr/>
          <w:p>
            <w:pPr>
              <w:pStyle w:val="Compact"/>
            </w:pPr>
            <w:r>
              <w:rPr>
                <w:b/>
                <w:bCs/>
              </w:rPr>
              <w:t xml:space="preserve">0.94</w:t>
            </w:r>
            <w:r>
              <w:t xml:space="preserve"> </w:t>
            </w:r>
            <w:r>
              <w:t xml:space="preserve">[0.92, 0.96]</w:t>
            </w:r>
          </w:p>
        </w:tc>
        <w:tc>
          <w:tcPr/>
          <w:p>
            <w:pPr>
              <w:pStyle w:val="Compact"/>
            </w:pPr>
            <w:r>
              <w:t xml:space="preserve">0.20 [0.18, 0.22]</w:t>
            </w:r>
          </w:p>
        </w:tc>
        <w:tc>
          <w:tcPr/>
          <w:p>
            <w:pPr>
              <w:pStyle w:val="Compact"/>
            </w:pPr>
            <w:r>
              <w:t xml:space="preserve">5.7% [3.9, 7.7]</w:t>
            </w:r>
          </w:p>
        </w:tc>
        <w:tc>
          <w:tcPr/>
          <w:p>
            <w:pPr>
              <w:pStyle w:val="Compact"/>
            </w:pPr>
            <w:r>
              <w:t xml:space="preserve">20.2% [18.3, 22.2]</w:t>
            </w:r>
          </w:p>
        </w:tc>
      </w:tr>
      <w:tr>
        <w:tc>
          <w:tcPr/>
          <w:p>
            <w:pPr>
              <w:pStyle w:val="Compact"/>
            </w:pPr>
            <w:r>
              <w:t xml:space="preserve">15 meets</w:t>
            </w:r>
          </w:p>
        </w:tc>
        <w:tc>
          <w:tcPr/>
          <w:p>
            <w:pPr>
              <w:pStyle w:val="Compact"/>
            </w:pPr>
            <w:r>
              <w:t xml:space="preserve">43.1</w:t>
            </w:r>
          </w:p>
        </w:tc>
        <w:tc>
          <w:tcPr/>
          <w:p>
            <w:pPr>
              <w:pStyle w:val="Compact"/>
            </w:pPr>
            <w:r>
              <w:t xml:space="preserve">0.48 [0.46, 0.50]</w:t>
            </w:r>
          </w:p>
        </w:tc>
        <w:tc>
          <w:tcPr/>
          <w:p>
            <w:pPr>
              <w:pStyle w:val="Compact"/>
            </w:pPr>
            <w:r>
              <w:t xml:space="preserve">0.82 [0.77, 0.85]</w:t>
            </w:r>
          </w:p>
        </w:tc>
        <w:tc>
          <w:tcPr/>
          <w:p>
            <w:pPr>
              <w:pStyle w:val="Compact"/>
            </w:pPr>
            <w:r>
              <w:rPr>
                <w:b/>
                <w:bCs/>
              </w:rPr>
              <w:t xml:space="preserve">0.93</w:t>
            </w:r>
            <w:r>
              <w:t xml:space="preserve"> </w:t>
            </w:r>
            <w:r>
              <w:t xml:space="preserve">[0.91, 0.95]</w:t>
            </w:r>
          </w:p>
        </w:tc>
        <w:tc>
          <w:tcPr/>
          <w:p>
            <w:pPr>
              <w:pStyle w:val="Compact"/>
            </w:pPr>
            <w:r>
              <w:t xml:space="preserve">0.24 [0.21, 0.26]</w:t>
            </w:r>
          </w:p>
        </w:tc>
        <w:tc>
          <w:tcPr/>
          <w:p>
            <w:pPr>
              <w:pStyle w:val="Compact"/>
            </w:pPr>
            <w:r>
              <w:t xml:space="preserve">7.0% [5.4, 8.7]</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 before the qualification window opens. All metrics are computed on one denominator (full cohort, n = 2,123); brackets are 2,000-replicate bootstrap 95% CIs. PPV is the proportion of flagged athletes who subsequently failed to retain senior activity. The final two columns give the absolute retention contrast — at the &lt; 10 threshold, 5.7% among flagged vs. 20.2% among unflagged athletes (a 3.5-fold difference). The high PPV partly reflects the population’s 84% non-retention base rate (the threshold improves precision by ~10 percentage points over base-rate prediction), and the NPV of ≈ 0.20 means unflagged athletes are not</w:t>
      </w:r>
      <w:r>
        <w:t xml:space="preserve"> </w:t>
      </w:r>
      <w:r>
        <w:t xml:space="preserve">“safe”</w:t>
      </w:r>
      <w:r>
        <w:t xml:space="preserve">: roughly four in five of them also fail to retain. Calibration of the underlying model is reported in Supplementary Table S23.</w:t>
      </w:r>
    </w:p>
    <w:p>
      <w:r>
        <w:pict>
          <v:rect style="width:0;height:1.5pt" o:hralign="center" o:hrstd="t" o:hr="t"/>
        </w:pict>
      </w:r>
    </w:p>
    <w:bookmarkEnd w:id="55"/>
    <w:bookmarkStart w:id="56" w:name="Xce71a58b6e16173dc667ed72ce929a73f522038"/>
    <w:p>
      <w:pPr>
        <w:pStyle w:val="Heading2"/>
      </w:pPr>
      <w:r>
        <w:t xml:space="preserve">3.9 Within-sport event concentration and retention</w:t>
      </w:r>
    </w:p>
    <w:p>
      <w:pPr>
        <w:pStyle w:val="FirstParagraph"/>
      </w:pPr>
      <w:r>
        <w:t xml:space="preserve">Higher baseline HHI (more event-category concentration) predicted</w:t>
      </w:r>
      <w:r>
        <w:t xml:space="preserve"> </w:t>
      </w:r>
      <w:r>
        <w:rPr>
          <w:i/>
          <w:iCs/>
        </w:rPr>
        <w:t xml:space="preserve">higher</w:t>
      </w:r>
      <w:r>
        <w:t xml:space="preserve"> </w:t>
      </w:r>
      <w:r>
        <w:t xml:space="preserve">senior retention: OR = 1.36 per SD (95% CI [1.17, 1.57],</w:t>
      </w:r>
      <w:r>
        <w:t xml:space="preserve"> </w:t>
      </w:r>
      <w:r>
        <w:rPr>
          <w:i/>
          <w:iCs/>
        </w:rPr>
        <w:t xml:space="preserve">p</w:t>
      </w:r>
      <w:r>
        <w:t xml:space="preserve"> </w:t>
      </w:r>
      <w:r>
        <w:t xml:space="preserve">&lt; .001) in the primary regression, HR = 0.80 in the Cox model, and present in both cohorts (A OR = 1.24, B OR = 1.58). Because HHI is bounded below by the reciprocal of the result count — few results force apparent concentration — we stress-tested for count-dependence; the association survived every check: restriction to ≥5 and ≥8 early results (OR = 1.38, 1.39) and a finite-sample-corrected index (OR = 1.39, 95% CI [1.20, 1.60]; Supplementary Table S20). It is not a small-count artifact. The index captures concentration</w:t>
      </w:r>
      <w:r>
        <w:t xml:space="preserve"> </w:t>
      </w:r>
      <w:r>
        <w:rPr>
          <w:i/>
          <w:iCs/>
        </w:rPr>
        <w:t xml:space="preserve">within</w:t>
      </w:r>
      <w:r>
        <w:t xml:space="preserve"> </w:t>
      </w:r>
      <w:r>
        <w:t xml:space="preserve">track and field — a different construct from multisport diversification; the distinction is developed in §4.6.</w:t>
      </w:r>
    </w:p>
    <w:bookmarkEnd w:id="56"/>
    <w:bookmarkStart w:id="57" w:name="cross-cohort-replication-and-sensitivity"/>
    <w:p>
      <w:pPr>
        <w:pStyle w:val="Heading2"/>
      </w:pPr>
      <w:r>
        <w:t xml:space="preserve">3.10 Cross-cohort replication and sensitivity</w:t>
      </w:r>
    </w:p>
    <w:p>
      <w:pPr>
        <w:pStyle w:val="FirstParagraph"/>
      </w:pPr>
      <w:r>
        <w:t xml:space="preserve">Re-estimated by cohort, the pre-milestone volume effect replicated: Cohort A OR = 2.22 (95% CI [1.86, 2.64]), Cohort B OR = 2.79 (95% CI [2.17, 3.58]), both</w:t>
      </w:r>
      <w:r>
        <w:t xml:space="preserve"> </w:t>
      </w:r>
      <w:r>
        <w:rPr>
          <w:i/>
          <w:iCs/>
        </w:rPr>
        <w:t xml:space="preserve">p</w:t>
      </w:r>
      <w:r>
        <w:t xml:space="preserve"> </w:t>
      </w:r>
      <w:r>
        <w:t xml:space="preserve">&lt; .001 (Table 7); sex was significant only in Cohort A. On the primary specification, the effect was robust to outcome definition (OR = 2.29, 2.40, 2.26 across the three definitions; Supplementary Table S9), to the fixed-window outcome (ages 20–22: OR = 2.43; Supplementary Table S24), to multiple imputation (OR = 2.35, 95% CI [2.08, 2.67]; Supplementary Table S21), and to cluster-robust standard errors (Supplementary Table S2). For unmeasured confounding, converting the primary odds ratio for this common outcome to a risk ratio (≈1.55) gives an E-value of 2.5 (baseline-only Cox: 2.6; Supplementary Table S3): a confounder would need risk-ratio associations of ≈2.5 with both early volume and retention — stronger than any measured covariate — to fully explain the association.</w:t>
      </w:r>
    </w:p>
    <w:p>
      <w:r>
        <w:pict>
          <v:rect style="width:0;height:1.5pt" o:hralign="center" o:hrstd="t" o:hr="t"/>
        </w:pict>
      </w:r>
    </w:p>
    <w:bookmarkEnd w:id="57"/>
    <w:bookmarkStart w:id="58" w:name="discussion"/>
    <w:p>
      <w:pPr>
        <w:pStyle w:val="Heading2"/>
      </w:pPr>
      <w:r>
        <w:t xml:space="preserve">4. Discussion</w:t>
      </w:r>
    </w:p>
    <w:bookmarkEnd w:id="58"/>
    <w:bookmarkStart w:id="59" w:name="summary-of-findings"/>
    <w:p>
      <w:pPr>
        <w:pStyle w:val="Heading2"/>
      </w:pPr>
      <w:r>
        <w:t xml:space="preserve">4.1 Summary of findings</w:t>
      </w:r>
    </w:p>
    <w:p>
      <w:pPr>
        <w:pStyle w:val="FirstParagraph"/>
      </w:pPr>
      <w:r>
        <w:t xml:space="preserve">Four findings emerge from this 14-year follow-up of 2,123 young athletes. First, competition volume at ages 13–14 was strongly and prospectively associated with retaining senior competition. Second, the association replicated across both birth cohorts and withstood structural controls, club random effects, and multiple imputation. Third, the dropout signal decomposed into two independent components — early behavioral heterogeneity visible at 13–14, and a genuine within-athlete pull-back: exit-aligned trajectories showed most dropouts tapering (median 12 → 10 → 9 → 4 meets across their last four seasons), and decline predicted exit even among athletes all still active at 16. Fourth, higher event-category concentration within track and field was associated with higher retention, robust to count-dependence checks — a different construct from, not a contradiction of, multisport diversification (§4.6).</w:t>
      </w:r>
    </w:p>
    <w:bookmarkEnd w:id="59"/>
    <w:bookmarkStart w:id="60" w:name="X87eb39888c4b9b734bc7d57b610ed09dcaa467b"/>
    <w:p>
      <w:pPr>
        <w:pStyle w:val="Heading2"/>
      </w:pPr>
      <w:r>
        <w:t xml:space="preserve">4.2 Behavior explains more variance in retention than performance</w:t>
      </w:r>
    </w:p>
    <w:p>
      <w:pPr>
        <w:pStyle w:val="FirstParagraph"/>
      </w:pPr>
      <w:r>
        <w:t xml:space="preserve">Behavior (competitions entered) explained more variance in senior retention than performance (Tyrving score) even when both were measured in the same window (Section 3.6): sex + Tyrving gave AUC = 0.607, sex + volume 0.740, both combined 0.737, and a baseline performance</w:t>
      </w:r>
      <w:r>
        <w:t xml:space="preserve"> </w:t>
      </w:r>
      <w:r>
        <w:rPr>
          <w:i/>
          <w:iCs/>
        </w:rPr>
        <w:t xml:space="preserve">trajectory</w:t>
      </w:r>
      <w:r>
        <w:t xml:space="preserve"> </w:t>
      </w:r>
      <w:r>
        <w:t xml:space="preserve">closed the gap only slightly (0.640). Performance reflects capability; volume reflects the athlete’s own choices about taking part — licensed by the open-entry structure of Section 2.2 — and those choices matter more for disengagement than capability does. Two caveats: volume is a near-noiseless count while Tyrving is a scored maximum with ~20% missingness, so part of the gap could be measurement precision (the within-stratum effects argue not all of it); and predictor and outcome both index registered activity, so</w:t>
      </w:r>
      <w:r>
        <w:t xml:space="preserve"> </w:t>
      </w:r>
      <w:r>
        <w:t xml:space="preserve">“behavior outperforms performance”</w:t>
      </w:r>
      <w:r>
        <w:t xml:space="preserve"> </w:t>
      </w:r>
      <w:r>
        <w:t xml:space="preserve">describes when disengagement becomes observable, not a causal mechanism.</w:t>
      </w:r>
    </w:p>
    <w:p>
      <w:pPr>
        <w:pStyle w:val="BodyText"/>
      </w:pPr>
      <w:r>
        <w:t xml:space="preserve">Low or declining volume can also have causes unrelated to waning engagement.</w:t>
      </w:r>
      <w:r>
        <w:t xml:space="preserve"> </w:t>
      </w:r>
      <w:r>
        <w:rPr>
          <w:i/>
          <w:iCs/>
        </w:rPr>
        <w:t xml:space="preserve">Cost:</w:t>
      </w:r>
      <w:r>
        <w:t xml:space="preserve"> </w:t>
      </w:r>
      <w:r>
        <w:t xml:space="preserve">cost-related reasons for leaving are cited more often by Norwegian youth from lower-income families (Espedalen &amp; Seippel, 2024); the channel is attenuated here — clubs pay entry fees, travel is short — but not eliminated, and the register holds no socioeconomic data.</w:t>
      </w:r>
      <w:r>
        <w:t xml:space="preserve"> </w:t>
      </w:r>
      <w:r>
        <w:rPr>
          <w:i/>
          <w:iCs/>
        </w:rPr>
        <w:t xml:space="preserve">Injury:</w:t>
      </w:r>
      <w:r>
        <w:t xml:space="preserve"> </w:t>
      </w:r>
      <w:r>
        <w:t xml:space="preserve">injuries were the most frequent dropout reason in the only long-term Norwegian track-and-field follow-up (24.3%; Enoksen, 2011), and an injured 14-year-old produces the same register signature as a disengaging one, so part of the pull-back is plausibly enforced rather than chosen.</w:t>
      </w:r>
      <w:r>
        <w:t xml:space="preserve"> </w:t>
      </w:r>
      <w:r>
        <w:rPr>
          <w:i/>
          <w:iCs/>
        </w:rPr>
        <w:t xml:space="preserve">Periodization</w:t>
      </w:r>
      <w:r>
        <w:t xml:space="preserve"> </w:t>
      </w:r>
      <w:r>
        <w:t xml:space="preserve">— competing less to peak later — is unlikely: the decline spans successive calendar years and ends in exit, not a peak.</w:t>
      </w:r>
    </w:p>
    <w:bookmarkEnd w:id="60"/>
    <w:bookmarkStart w:id="61" w:name="X275310f308a547ead5220928057c68be59c7379"/>
    <w:p>
      <w:pPr>
        <w:pStyle w:val="Heading2"/>
      </w:pPr>
      <w:r>
        <w:t xml:space="preserve">4.3 Pull-back is real at the individual level — and so is early heterogeneity</w:t>
      </w:r>
    </w:p>
    <w:p>
      <w:pPr>
        <w:pStyle w:val="FirstParagraph"/>
      </w:pPr>
      <w:r>
        <w:t xml:space="preserve">Is the divergence in Figure 2 genuine within-athlete pull-back, or early differentiation only — or an artifact of averaging abrupt exits at heterogeneous ages? The exit-aligned analyses answer at the individual level: 95% of dropouts were still competing in their penultimate season, 74% had a reduced-but-nonzero penultimate season, and only 19% exited directly from peak volume — a two-to-three-season taper, not a cliff. Both components are nonetheless real: level and change carried independent information (Table 4), the pattern held in the contamination-free window (level OR = 3.04; change OR = 1.88), and future dropouts already differed at 13–14 — consistent with retrospective evidence that dropouts’ developmental activities differ years before exit (Wall &amp; Côté, 2007).</w:t>
      </w:r>
    </w:p>
    <w:bookmarkEnd w:id="61"/>
    <w:bookmarkStart w:id="62"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 (Scanlan et al., 1993, 2016), the resolve to continue is shaped by enjoyment, investments, involvement opportunities, alternatives, and social constraints, and</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 the latter less sustainable and linked to burnout (Raedeke, 1997). Declining volume years before exit fits an eroding commitment balance, though the register cannot distinguish waning enthusiasm from accumulating constraint. Withdrawal-as-process accounts (Ebaugh, 1988; Eliasson &amp; Johansson, 2021) describe leaving as a gradual deliberative passage — first doubts, weighing of alternatives, a turning point — among athletes who remain formally involved: precisely what the exit-aligned trajectories show, a typical future dropout still competing, at reduced volume, for two to three seasons before the final exit. The register cannot observe the deliberation, but it can now observe its behavioral shape — two to three thinning seasons — at the individual level.</w:t>
      </w:r>
    </w:p>
    <w:p>
      <w:pPr>
        <w:pStyle w:val="BodyText"/>
      </w:pPr>
      <w:r>
        <w:t xml:space="preserve">Two readings of the same footprint deserve equal standing. Declining volume may mark</w:t>
      </w:r>
      <w:r>
        <w:t xml:space="preserve"> </w:t>
      </w:r>
      <w:r>
        <w:rPr>
          <w:i/>
          <w:iCs/>
        </w:rPr>
        <w:t xml:space="preserve">disengagement from sport</w:t>
      </w:r>
      <w:r>
        <w:t xml:space="preserve"> </w:t>
      </w:r>
      <w:r>
        <w:t xml:space="preserve">— the commitment-erosion reading. It may also mark</w:t>
      </w:r>
      <w:r>
        <w:t xml:space="preserve"> </w:t>
      </w:r>
      <w:r>
        <w:rPr>
          <w:i/>
          <w:iCs/>
        </w:rPr>
        <w:t xml:space="preserve">engagement reallocation</w:t>
      </w:r>
      <w:r>
        <w:t xml:space="preserve">: ages 14–16 are precisely when Norwegian multi-sport youth consolidate into one sport, so for some athletes declining track-and-field volume signals rising commitment to handball or football rather than to nothing. The register cannot separate the two, and the reallocation share is unbounded in our data. Norwegian participation research is compatible with both: ambition is strongly stratified among youth participants (Bakken, 2019), and exit from organized sport can itself reclaim time and autonomy rather than mark a loss (Espedalen, 2025). What the register demonstrates is that</w:t>
      </w:r>
      <w:r>
        <w:t xml:space="preserve"> </w:t>
      </w:r>
      <w:r>
        <w:rPr>
          <w:i/>
          <w:iCs/>
        </w:rPr>
        <w:t xml:space="preserve">some</w:t>
      </w:r>
      <w:r>
        <w:t xml:space="preserve"> </w:t>
      </w:r>
      <w:r>
        <w:t xml:space="preserve">mechanism — erosion, reallocation, or constraint — leaves a footprint readable in registered activity years before exit.</w:t>
      </w:r>
    </w:p>
    <w:bookmarkEnd w:id="62"/>
    <w:bookmarkStart w:id="63" w:name="sex-effect"/>
    <w:p>
      <w:pPr>
        <w:pStyle w:val="Heading2"/>
      </w:pPr>
      <w:r>
        <w:t xml:space="preserve">4.5 Sex effect</w:t>
      </w:r>
    </w:p>
    <w:p>
      <w:pPr>
        <w:pStyle w:val="FirstParagraph"/>
      </w:pPr>
      <w:r>
        <w:t xml:space="preserve">The sex pattern differs by specification, informatively. Unadjusted, Kaplan–Meier curves showed no clear sex difference (log-rank</w:t>
      </w:r>
      <w:r>
        <w:t xml:space="preserve"> </w:t>
      </w:r>
      <w:r>
        <w:rPr>
          <w:i/>
          <w:iCs/>
        </w:rPr>
        <w:t xml:space="preserve">p</w:t>
      </w:r>
      <w:r>
        <w:t xml:space="preserve"> </w:t>
      </w:r>
      <w:r>
        <w:t xml:space="preserve">= .33); adjusted, females retained at significantly lower odds in every layer of the primary model (OR = 0.72 sex-only, 0.61 full model; Table 3) —</w:t>
      </w:r>
      <w:r>
        <w:t xml:space="preserve"> </w:t>
      </w:r>
      <w:r>
        <w:rPr>
          <w:i/>
          <w:iCs/>
        </w:rPr>
        <w:t xml:space="preserve">conditional on the same early volume, concentration, and performance</w:t>
      </w:r>
      <w:r>
        <w:t xml:space="preserve">, girls were less likely to remain, their higher early volumes partially masking the gap in unadjusted comparisons. The behavioral mechanism itself was similar across sexes (Supplementary Table S7): milestone-window volume reduced cessation hazard similarly for males (HR = 0.42) and females (HR = 0.46), C-index 0.843 for each —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 (Bakken, 2019) and the clearly higher female attrition in Enoksen’s (2011) historical cohort.</w:t>
      </w:r>
    </w:p>
    <w:bookmarkEnd w:id="63"/>
    <w:bookmarkStart w:id="64"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predicted</w:t>
      </w:r>
      <w:r>
        <w:t xml:space="preserve"> </w:t>
      </w:r>
      <w:r>
        <w:rPr>
          <w:i/>
          <w:iCs/>
        </w:rPr>
        <w:t xml:space="preserve">greater</w:t>
      </w:r>
      <w:r>
        <w:t xml:space="preserve"> </w:t>
      </w:r>
      <w:r>
        <w:t xml:space="preserve">senior retention (OR = 1.36 per SD), consistently across cohorts, in the Cox model (HR = 0.80), and across all count-dependence stress tests (Section 3.9). That finding should not be read against the diversification literature, which primarily concerns diversification</w:t>
      </w:r>
      <w:r>
        <w:t xml:space="preserve"> </w:t>
      </w:r>
      <w:r>
        <w:rPr>
          <w:i/>
          <w:iCs/>
        </w:rPr>
        <w:t xml:space="preserve">across sports</w:t>
      </w:r>
      <w:r>
        <w:t xml:space="preserve"> </w:t>
      </w:r>
      <w:r>
        <w:t xml:space="preserve">— multisport sampling versus early single-sport specialization and its consequences for elite performance and athlete health (Côté &amp; Hancock, 2016; Güllich et al., 2022). Our HHI measures concentration</w:t>
      </w:r>
      <w:r>
        <w:t xml:space="preserve"> </w:t>
      </w:r>
      <w:r>
        <w:rPr>
          <w:i/>
          <w:iCs/>
        </w:rPr>
        <w:t xml:space="preserve">within</w:t>
      </w:r>
      <w:r>
        <w:t xml:space="preserve"> </w:t>
      </w:r>
      <w:r>
        <w:t xml:space="preserve">one sport, conditional on already participating in it, and the register says nothing about other sports: an athlete concentrated within track and field may simultaneously be a multisport sampler. The constructs are related but not interchangeable — and the across-sport evidence is itself less settled than often assumed: in youth swimming, early-specialization markers were, contrary to expectation,</w:t>
      </w:r>
      <w:r>
        <w:t xml:space="preserve"> </w:t>
      </w:r>
      <w:r>
        <w:rPr>
          <w:i/>
          <w:iCs/>
        </w:rPr>
        <w:t xml:space="preserve">not</w:t>
      </w:r>
      <w:r>
        <w:t xml:space="preserve"> </w:t>
      </w:r>
      <w:r>
        <w:t xml:space="preserve">positively related to burnout and dropout (Larson et al., 2019), and blanket condemnation of early specialization has been argued to outrun the evidence (Baker et al., 2021) — both consistent with our within-sport result. The outcome also differs (retention at 20, not elite performance), and HHI is not a proxy for main-event performance (r = −0.05; coefficient unchanged when primary-category Tyrving is added; Supplementary Table S18). Governing bodies should read this neither as a license to push early specialization nor as grounds for forced diversification among motivated adolescents.</w:t>
      </w:r>
    </w:p>
    <w:bookmarkEnd w:id="64"/>
    <w:bookmarkStart w:id="65" w:name="what-registers-bring"/>
    <w:p>
      <w:pPr>
        <w:pStyle w:val="Heading2"/>
      </w:pPr>
      <w:r>
        <w:t xml:space="preserve">4.7 What registers bring</w:t>
      </w:r>
    </w:p>
    <w:p>
      <w:pPr>
        <w:pStyle w:val="FirstParagraph"/>
      </w:pPr>
      <w:r>
        <w:t xml:space="preserve">Registers address two structural problems in dropout research: withdrawn athletes are hard to recruit into surveys, and retrospective accounts compress a continuous process into a remembered decision. Registration records provide a complete population and continuous, rather than reconstructed, behavioral sequences. Registers bring no new theory; they bring a longitudinal behavioral test of theories built largely on cross-sectional or short-prospective evidence — here a well-calibrated baseline-only signal (AUC = 0.751), internal replication, robustness across structural, club-level, and missing-data checks, and an E-value of ≈2.5.</w:t>
      </w:r>
    </w:p>
    <w:bookmarkEnd w:id="65"/>
    <w:bookmarkStart w:id="66"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 whether such support works is the pilot question in §4.10. Four implications follow.</w:t>
      </w:r>
    </w:p>
    <w:p>
      <w:pPr>
        <w:pStyle w:val="BodyText"/>
      </w:pPr>
      <w:r>
        <w:rPr>
          <w:b/>
          <w:bCs/>
        </w:rPr>
        <w:t xml:space="preserve">(1) Register-based flagging at the end of the age-14 season.</w:t>
      </w:r>
      <w:r>
        <w:t xml:space="preserve"> </w:t>
      </w:r>
      <w:r>
        <w:t xml:space="preserve">Flag athletes whose ages-13–14 competition count falls below a threshold. At &lt; 10 meets, the flag captures 26% of the cohort whose senior retention is 5.7%, versus 20.2% among the unflagged — a 3.5-fold difference, computed automatically from data the federation already holds (Table 6). Two numbers discipline its use: sensitivity is 0.30, so most future dropouts are</w:t>
      </w:r>
      <w:r>
        <w:t xml:space="preserve"> </w:t>
      </w:r>
      <w:r>
        <w:rPr>
          <w:i/>
          <w:iCs/>
        </w:rPr>
        <w:t xml:space="preserve">not</w:t>
      </w:r>
      <w:r>
        <w:t xml:space="preserve"> </w:t>
      </w:r>
      <w:r>
        <w:t xml:space="preserve">flagged, and unflagged athletes’ own retention is only ~20% — a flag concentrates risk; its absence reassures no one. Flagging should therefore</w:t>
      </w:r>
      <w:r>
        <w:t xml:space="preserve"> </w:t>
      </w:r>
      <w:r>
        <w:rPr>
          <w:i/>
          <w:iCs/>
        </w:rPr>
        <w:t xml:space="preserve">prioritize</w:t>
      </w:r>
      <w:r>
        <w:t xml:space="preserve"> </w:t>
      </w:r>
      <w:r>
        <w:t xml:space="preserve">outreach where risk is densest,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 the latter just after the first selective gate and ahead of the steepest attrition at 17.</w:t>
      </w:r>
    </w:p>
    <w:p>
      <w:pPr>
        <w:pStyle w:val="BodyText"/>
      </w:pPr>
      <w:r>
        <w:rPr>
          <w:b/>
          <w:bCs/>
        </w:rPr>
        <w:t xml:space="preserve">(3) Lower the cost side of the next competition cycle — as an offer, never as pressure.</w:t>
      </w:r>
      <w:r>
        <w:t xml:space="preserve"> </w:t>
      </w:r>
      <w:r>
        <w:t xml:space="preserve">With entry fees club-paid and travel short (Section 2.2), the remaining levers are residual and psychological costs: membership and equipment support, coach-accompanied transport, low-stakes practice meets, and an explicit signal that participation is welcome regardless of performance — each acting on the cost side of the engagement balance (Scanlan et al., 1993, 2016). The register cannot distinguish athletes who are blocked from athletes choosing other priorities, and for the latter — a large group by design in a low-threshold system — retention pressure would be misplaced. Flags identify</w:t>
      </w:r>
      <w:r>
        <w:t xml:space="preserve"> </w:t>
      </w:r>
      <w:r>
        <w:rPr>
          <w:i/>
          <w:iCs/>
        </w:rPr>
        <w:t xml:space="preserve">whom</w:t>
      </w:r>
      <w:r>
        <w:t xml:space="preserve"> </w:t>
      </w:r>
      <w:r>
        <w:t xml:space="preserve">to reach; understanding</w:t>
      </w:r>
      <w:r>
        <w:t xml:space="preserve"> </w:t>
      </w:r>
      <w:r>
        <w:rPr>
          <w:i/>
          <w:iCs/>
        </w:rPr>
        <w:t xml:space="preserve">why</w:t>
      </w:r>
      <w:r>
        <w:t xml:space="preserve"> </w:t>
      </w:r>
      <w:r>
        <w:t xml:space="preserve">still requires conversation, for which commitment instruments such as the SCQ-2 complement the register.</w:t>
      </w:r>
    </w:p>
    <w:p>
      <w:pPr>
        <w:pStyle w:val="BodyText"/>
      </w:pPr>
      <w:r>
        <w:rPr>
          <w:b/>
          <w:bCs/>
        </w:rPr>
        <w:t xml:space="preserve">(4) Be cautious about prescribing event diversification for retention.</w:t>
      </w:r>
      <w:r>
        <w:t xml:space="preserve"> </w:t>
      </w:r>
      <w:r>
        <w:t xml:space="preserve">Within-sport concentration predicted</w:t>
      </w:r>
      <w:r>
        <w:t xml:space="preserve"> </w:t>
      </w:r>
      <w:r>
        <w:rPr>
          <w:i/>
          <w:iCs/>
        </w:rPr>
        <w:t xml:space="preserve">higher</w:t>
      </w:r>
      <w:r>
        <w:t xml:space="preserve"> </w:t>
      </w:r>
      <w:r>
        <w:t xml:space="preserve">retention, robustly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and the research-ethics exemption this study relies on (Section 2.7) licenses none of it. Deployment would require a federation’s own legal basis and a data-protection impact assessment; flags visible to a designated officer rather than routinely to coaches (avoiding expectancy and labeling effects); informed families with an opt-out; a retention limit for flag data; and attention to equity, which the register cannot audit for lack of socioeconomic data. That the screen runs without athlete contact is a transparency problem to solve, not a feature. These preconditions, and the untested intervention effect, are why the next step is the pilot of §4.10 rather than adoption.</w:t>
      </w:r>
    </w:p>
    <w:bookmarkEnd w:id="66"/>
    <w:bookmarkStart w:id="67"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 nor injury, a leading cause of attrition in this sport (Enoksen, 2011), so part of the pull-back is plausibly non-volitional; the qualitative literature remains essential for</w:t>
      </w:r>
      <w:r>
        <w:t xml:space="preserve"> </w:t>
      </w:r>
      <w:r>
        <w:rPr>
          <w:i/>
          <w:iCs/>
        </w:rPr>
        <w:t xml:space="preserve">why</w:t>
      </w:r>
      <w:r>
        <w:t xml:space="preserve"> </w:t>
      </w:r>
      <w:r>
        <w:t xml:space="preserve">volume declines. Third, the population is soft-selected through club membership, and the three venues cover eastern, mid, and western Norway (none northern). Fourth, predictor and outcome share a measurement scale; despite the baseline-only model, the contamination-free change model, exit-aligned trajectories, and landmark and zero-volume sensitivities, structural overlap remains a conceptual limitation of register-only designs. Fifth, the post-baseline Cox specification violated proportional hazards (Schoenfeld χ² = 220.77); its estimates are descriptive only. Sixth, the HHI treats event categories symmetrically although they co-occur unevenly (98% of hurdlers also sprinted), so identical values can represent different combination patterns; the direction of the association was nonetheless robust. Seventh, the youngest cohort has at most four post-senior years of observation, though the fixed-window outcome gives near-identical results. Eighth, on the applied side: the thresholds are calibrated to a complete-register, open-entry, club-pays system and do not transfer to coach-gated or pay-to-play systems without re-derivation — and no intervention effect has been demonstrated: §4.8 is targeting logic, not evaluated policy.</w:t>
      </w:r>
    </w:p>
    <w:bookmarkEnd w:id="67"/>
    <w:bookmarkStart w:id="68"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68"/>
    <w:bookmarkStart w:id="69"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 a decline visible within athletes, years before exit, and no averaging artifact. The effect withstands structural, club-level, missing-data, and outcome-definition checks and replicates across cohorts; early heterogeneity and pull-back contribute independently. The findings are consistent with — though do not by themselves confirm — accounts of withdrawal as a gradual deliberative process, and they yield a register-implementable targeting rule whose intervention value, under the governance preconditions above, is now a testable question.</w:t>
      </w:r>
    </w:p>
    <w:p>
      <w:r>
        <w:pict>
          <v:rect style="width:0;height:1.5pt" o:hralign="center" o:hrstd="t" o:hr="t"/>
        </w:pict>
      </w:r>
    </w:p>
    <w:bookmarkEnd w:id="69"/>
    <w:bookmarkStart w:id="70"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70"/>
    <w:bookmarkStart w:id="77" w:name="statements-and-declarations"/>
    <w:p>
      <w:pPr>
        <w:pStyle w:val="Heading2"/>
      </w:pPr>
      <w:r>
        <w:t xml:space="preserve">Statements and Declarations</w:t>
      </w:r>
    </w:p>
    <w:bookmarkStart w:id="71"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71"/>
    <w:bookmarkStart w:id="72"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72"/>
    <w:bookmarkStart w:id="73"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73"/>
    <w:bookmarkStart w:id="74"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74"/>
    <w:bookmarkStart w:id="75"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75"/>
    <w:bookmarkStart w:id="76"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76"/>
    <w:bookmarkEnd w:id="77"/>
    <w:bookmarkStart w:id="78" w:name="references"/>
    <w:p>
      <w:pPr>
        <w:pStyle w:val="Heading2"/>
      </w:pPr>
      <w:r>
        <w:t xml:space="preserve">References</w:t>
      </w:r>
    </w:p>
    <w:p>
      <w:pPr>
        <w:pStyle w:val="FirstParagraph"/>
      </w:pPr>
      <w:r>
        <w:t xml:space="preserve">(APA 7th edition format)</w:t>
      </w:r>
    </w:p>
    <w:p>
      <w:pPr>
        <w:pStyle w:val="BodyText"/>
      </w:pPr>
      <w:r>
        <w:t xml:space="preserve">Baker, J., Mosher, A., &amp; Fraser-Thomas, J. (2021). Is it too early to condemn early sport specialisation?</w:t>
      </w:r>
      <w:r>
        <w:t xml:space="preserve"> </w:t>
      </w:r>
      <w:r>
        <w:rPr>
          <w:i/>
          <w:iCs/>
        </w:rPr>
        <w:t xml:space="preserve">British Journal of Sports Medicine, 55</w:t>
      </w:r>
      <w:r>
        <w:t xml:space="preserve">(3), 179–180. https://doi.org/10.1136/bjsports-2020-102053</w:t>
      </w:r>
    </w:p>
    <w:p>
      <w:pPr>
        <w:pStyle w:val="BodyText"/>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 https://doi.org/10.1016/j.psychsport.2022.102205</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Battaglia, A., Kerr, G., &amp; Tamminen, K. (2024). The dropout from youth sport crisis: Not as simple as it appears.</w:t>
      </w:r>
      <w:r>
        <w:t xml:space="preserve"> </w:t>
      </w:r>
      <w:r>
        <w:rPr>
          <w:i/>
          <w:iCs/>
        </w:rPr>
        <w:t xml:space="preserve">Kinesiology Review, 13</w:t>
      </w:r>
      <w:r>
        <w:t xml:space="preserve">(3), 345–356. https://doi.org/10.1123/kr.2023-0024</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(2019). lifelines: Survival analysis in Python.</w:t>
      </w:r>
      <w:r>
        <w:t xml:space="preserve"> </w:t>
      </w:r>
      <w:r>
        <w:rPr>
          <w:i/>
          <w:iCs/>
        </w:rPr>
        <w:t xml:space="preserve">Journal of Open Source Software, 4</w:t>
      </w:r>
      <w:r>
        <w:t xml:space="preserve">(40), Article 1317. https://doi.org/10.21105/joss.01317</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Enoksen, E. (2011). Drop-out rate and drop-out reasons among promising Norwegian track and field athletes: A 25 year study.</w:t>
      </w:r>
      <w:r>
        <w:t xml:space="preserve"> </w:t>
      </w:r>
      <w:r>
        <w:rPr>
          <w:i/>
          <w:iCs/>
        </w:rPr>
        <w:t xml:space="preserve">Scandinavian Sport Studies Forum, 2</w:t>
      </w:r>
      <w:r>
        <w:t xml:space="preserve">, 19–43.</w:t>
      </w:r>
    </w:p>
    <w:p>
      <w:pPr>
        <w:pStyle w:val="BodyText"/>
      </w:pPr>
      <w:r>
        <w:t xml:space="preserve">Espedalen, L. E. (2025).</w:t>
      </w:r>
      <w:r>
        <w:t xml:space="preserve"> </w:t>
      </w:r>
      <w:r>
        <w:rPr>
          <w:i/>
          <w:iCs/>
        </w:rPr>
        <w:t xml:space="preserve">Organized sport in the lives of young Norwegians: Participation, exit, and social inequality</w:t>
      </w:r>
      <w:r>
        <w:t xml:space="preserve"> </w:t>
      </w:r>
      <w:r>
        <w:t xml:space="preserve">[Doctoral dissertation, Norwegian School of Sport Sciences].</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Kearney, P. E., &amp; Hayes, P. R. (2018). Excelling at youth level in competitive track and field athletics is not a prerequisite for later success.</w:t>
      </w:r>
      <w:r>
        <w:t xml:space="preserve"> </w:t>
      </w:r>
      <w:r>
        <w:rPr>
          <w:i/>
          <w:iCs/>
        </w:rPr>
        <w:t xml:space="preserve">Journal of Sports Sciences, 36</w:t>
      </w:r>
      <w:r>
        <w:t xml:space="preserve">(21), 2502–2509. https://doi.org/10.1080/02640414.2018.1465724</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Larson, H. K., Young, B. W., McHugh, T.-L. F., &amp; Rodgers, W. M. (2019). Markers of early specialization and their relationships with burnout and dropout in swimming.</w:t>
      </w:r>
      <w:r>
        <w:t xml:space="preserve"> </w:t>
      </w:r>
      <w:r>
        <w:rPr>
          <w:i/>
          <w:iCs/>
        </w:rPr>
        <w:t xml:space="preserve">Journal of Sport and Exercise Psychology, 41</w:t>
      </w:r>
      <w:r>
        <w:t xml:space="preserve">(1), 46–54. https://doi.org/10.1123/jsep.2018-0305</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https://www.friidrett.no/arrangement/arrangementshjelp/poengtabeller/tyrvingtabellen/</w:t>
      </w:r>
    </w:p>
    <w:p>
      <w:pPr>
        <w:pStyle w:val="BodyText"/>
      </w:pPr>
      <w:r>
        <w:t xml:space="preserve">Norges Friidrettsforbund. (2026).</w:t>
      </w:r>
      <w:r>
        <w:t xml:space="preserve"> </w:t>
      </w:r>
      <w:r>
        <w:rPr>
          <w:i/>
          <w:iCs/>
        </w:rPr>
        <w:t xml:space="preserve">Konkurranseregler og bestemmelser</w:t>
      </w:r>
      <w:r>
        <w:t xml:space="preserve"> </w:t>
      </w:r>
      <w:r>
        <w:t xml:space="preserve">[Competition rules and regulations]. https://www.friidrett.no/lover-og-regler/</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Raedeke, T. D. (1997). Is athlete burnout more than just stress? A sport commitment perspective.</w:t>
      </w:r>
      <w:r>
        <w:t xml:space="preserve"> </w:t>
      </w:r>
      <w:r>
        <w:rPr>
          <w:i/>
          <w:iCs/>
        </w:rPr>
        <w:t xml:space="preserve">Journal of Sport &amp; Exercise Psychology, 19</w:t>
      </w:r>
      <w:r>
        <w:t xml:space="preserve">(4), 396–417. https://doi.org/10.1123/jsep.19.4.396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2026-08-25T13:52:23Z</dcterms:created>
  <dcterms:modified xsi:type="dcterms:W3CDTF">2026-08-25T13:52:23Z</dcterms:modified>
</cp:coreProperties>
</file>

<file path=docProps/custom.xml><?xml version="1.0" encoding="utf-8"?>
<Properties xmlns="http://schemas.openxmlformats.org/officeDocument/2006/custom-properties" xmlns:vt="http://schemas.openxmlformats.org/officeDocument/2006/docPropsVTypes"/>
</file>