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unchanged by structural controls and club random effects, and replicated across two adjacent birth cohorts. Exit-aligned trajectories showed that withdrawal was gradual for most athletes: median volume fell 12 → 10 → 9 → 4 meets across dropouts’ last four seasons, 74%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t xml:space="preserve">1</w:t>
      </w:r>
      <w:r>
        <w:t xml:space="preserve"> </w:t>
      </w:r>
      <w:r>
        <w:t xml:space="preserve">— benefits that presuppose that young people stay involved. Attrition from organized competition during adolescence is substantial across countries and sports,</w:t>
      </w:r>
      <w:r>
        <w:t xml:space="preserve">2</w:t>
      </w:r>
      <w:r>
        <w:t xml:space="preserve"> </w:t>
      </w:r>
      <w:r>
        <w:t xml:space="preserve">and track and field is no exception: in a 25-year Norwegian follow-up, roughly 82% of promising track and field athletes identified in adolescence had left the sport within 14 years,</w:t>
      </w:r>
      <w: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t xml:space="preserve">4</w:t>
      </w:r>
      <w:r>
        <w:t xml:space="preserve"> </w:t>
      </w:r>
      <w:r>
        <w:t xml:space="preserve">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t xml:space="preserve">5</w:t>
      </w:r>
      <w:r>
        <w:t xml:space="preserve"> </w:t>
      </w:r>
      <w:r>
        <w:t xml:space="preserve">so some form of decline over a period of time should be expected. The Sport Commitment Model</w:t>
      </w:r>
      <w:r>
        <w:t xml:space="preserve">6,7</w:t>
      </w:r>
      <w:r>
        <w:t xml:space="preserve"> </w:t>
      </w:r>
      <w:r>
        <w:t xml:space="preserve">describes how the desire and resolve to continue are shaped by enjoyment, personal investments, involvement opportunities, attractive alternatives, and social constraints; Kretchmar’s</w:t>
      </w:r>
      <w: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t xml:space="preserve">5</w:t>
      </w:r>
      <w:r>
        <w:t xml:space="preserve"> </w:t>
      </w:r>
      <w:r>
        <w:t xml:space="preserve">applied Ebaugh’s</w:t>
      </w:r>
      <w:r>
        <w:t xml:space="preserve">9</w:t>
      </w:r>
      <w:r>
        <w:t xml:space="preserve"> </w:t>
      </w:r>
      <w:r>
        <w:t xml:space="preserve">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cost-related reasons cited more often by youth from lower-income families.</w:t>
      </w:r>
      <w:r>
        <w:t xml:space="preserve">10</w:t>
      </w:r>
    </w:p>
    <w:p>
      <w:pPr>
        <w:pStyle w:val="BodyText"/>
      </w:pPr>
      <w:r>
        <w:t xml:space="preserve">Groups of athletes also appear to differ in how they respond when competitive demands increase. Norwegian participation research documents strong stratification of ambition and investment among youth participants — a minority train and compete with long-term aspirations, while a larger group take part for enjoyment and belonging and more readily reprioritize when sport becomes demanding</w:t>
      </w:r>
      <w:r>
        <w:t xml:space="preserve">11</w:t>
      </w:r>
      <w:r>
        <w:t xml:space="preserve"> </w:t>
      </w:r>
      <w:r>
        <w:t xml:space="preserve">— and the Sport Commitment Model’s distinction between enthusiastic and constrained commitment predicts exactly such divergent responses to rising demands.</w:t>
      </w:r>
      <w: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w:t>
      </w:r>
      <w:r>
        <w:t xml:space="preserve">12</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t xml:space="preserve">1</w:t>
      </w:r>
      <w:r>
        <w:t xml:space="preserve"> </w:t>
      </w:r>
      <w:r>
        <w:t xml:space="preserve">and the hypothesized timescale (1–3 years) exceeds most prospective follow-up windows — Sarrazin et al.’s</w:t>
      </w:r>
      <w:r>
        <w:t xml:space="preserve">13</w:t>
      </w:r>
      <w:r>
        <w:t xml:space="preserve"> </w:t>
      </w:r>
      <w:r>
        <w:t xml:space="preserve">21-month handball study is unusually long and still does not bridge the adolescent-to-junior transition. A separate quantitative tradition studies correlates of dropout and development — relative age effects,</w:t>
      </w:r>
      <w:r>
        <w:t xml:space="preserve">14</w:t>
      </w:r>
      <w:r>
        <w:t xml:space="preserve"> </w:t>
      </w:r>
      <w:r>
        <w:t xml:space="preserve">specialization</w:t>
      </w:r>
      <w:r>
        <w:t xml:space="preserve">15–18</w:t>
      </w:r>
      <w:r>
        <w:t xml:space="preserve"> </w:t>
      </w:r>
      <w:r>
        <w:t xml:space="preserve">— and short longitudinal designs measuring proximal psychological constructs</w:t>
      </w:r>
      <w:r>
        <w:t xml:space="preserve">19–21</w:t>
      </w:r>
      <w:r>
        <w:t xml:space="preserve">; prospective psychosocial predictors of adolescent dropout have been meta-analyzed,</w:t>
      </w:r>
      <w:r>
        <w:t xml:space="preserve">22</w:t>
      </w:r>
      <w:r>
        <w:t xml:space="preserve"> </w:t>
      </w:r>
      <w:r>
        <w:t xml:space="preserve">and in athletics, registers and rankings have been used to study</w:t>
      </w:r>
      <w:r>
        <w:t xml:space="preserve"> </w:t>
      </w:r>
      <w:r>
        <w:rPr>
          <w:i/>
          <w:iCs/>
        </w:rPr>
        <w:t xml:space="preserve">performance</w:t>
      </w:r>
      <w:r>
        <w:t xml:space="preserve"> </w:t>
      </w:r>
      <w:r>
        <w:t xml:space="preserve">trajectories across the youth-to-senior transition.</w:t>
      </w:r>
      <w:r>
        <w:t xml:space="preserve">23</w:t>
      </w:r>
      <w:r>
        <w:t xml:space="preserve"> </w:t>
      </w:r>
      <w:r>
        <w:t xml:space="preserve">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t xml:space="preserve">5,9</w:t>
      </w:r>
      <w:r>
        <w:t xml:space="preserve"> </w:t>
      </w:r>
      <w:r>
        <w:t xml:space="preserve">and because more and less committed participants are expected to respond differently to rising competitive demands,</w:t>
      </w:r>
      <w:r>
        <w:t xml:space="preserve">7,11</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w:t>
      </w:r>
      <w:r>
        <w:t xml:space="preserve">6,7</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t xml:space="preserve">24</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t xml:space="preserve">25</w:t>
      </w:r>
      <w:r>
        <w:t xml:space="preserve"> </w:t>
      </w:r>
      <w:r>
        <w:t xml:space="preserve">(The exception — occasional invitational regional-team matches for 14–15-year-olds — does not gate ordinary competition.)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mid, and western Norway (northern Norway is not represented). Athletes were 13–14 and entered through their club with no qualifying threshold; disengagement trajectories therefore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t xml:space="preserve">26</w:t>
      </w:r>
      <w:r>
        <w:t xml:space="preserve">: a published table gives, per event × sex × age, a reference performance worth 1,000 points and a per-unit quotient (values capped at 1,500 to suppress data-entry errors). We computed tyrving_best (baseline maximum), tyrving_peak_pre15, per-age scores (yielding a baseline performance trajectory, age-14 minus age-13), and tyrving_slope_13_16.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t xml:space="preserve">27</w:t>
      </w:r>
      <w:r>
        <w:t xml:space="preserve"> </w:t>
      </w:r>
      <w:r>
        <w:t xml:space="preserve">with a baseline-only primary specification (Supplementary Table S16), a landmark analysis among athletes active at age 16,</w:t>
      </w:r>
      <w:r>
        <w:t xml:space="preserve">28</w:t>
      </w:r>
      <w:r>
        <w:t xml:space="preserve"> </w:t>
      </w:r>
      <w:r>
        <w:t xml:space="preserve">and a post-baseline specification interpreted with overlap caveats (Supplementary Table S8; Table 5). Proportional-hazards checks, E-values,</w:t>
      </w:r>
      <w:r>
        <w:t xml:space="preserve">29</w:t>
      </w:r>
      <w:r>
        <w:t xml:space="preserve"> </w:t>
      </w:r>
      <w:r>
        <w:t xml:space="preserve">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and odds ratios ≥1.20 per SD — well below effect sizes typical of prior dropout research.</w:t>
      </w:r>
      <w:r>
        <w:t xml:space="preserve">22</w:t>
      </w:r>
      <w:r>
        <w:t xml:space="preserve"> </w:t>
      </w:r>
      <w:r>
        <w:t xml:space="preserve">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w:t>
      </w:r>
      <w:r>
        <w:t xml:space="preserve">30</w:t>
      </w:r>
      <w:r>
        <w:t xml:space="preserve"> </w:t>
      </w:r>
      <w:r>
        <w:t xml:space="preserve">and scikit-learn</w:t>
      </w:r>
      <w:r>
        <w:t xml:space="preserve">31</w:t>
      </w:r>
      <w:r>
        <w:t xml:space="preserve">; figures used matplotlib.</w:t>
      </w:r>
      <w:r>
        <w:t xml:space="preserve">32</w:t>
      </w:r>
      <w:r>
        <w:t xml:space="preserve"> </w:t>
      </w:r>
      <w:r>
        <w:t xml:space="preserve">Analysis code will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t xml:space="preserve">33</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the variance in pre-milestone volume lies between clubs (ICC = 0.25 across 277 clubs), but the effect is not a club-supply artifact: with club random intercepts the coefficient was, if anything, larger (OR = 2.58, 95% CI [2.27, 2.93]; Supplementary Table S22) — the association holds when comparing athletes within the same club.</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The baseline-start Cox model with post-baseline covariates is not a primary estimate (predictor and at-risk window overlap); its contamination-free analogue is the change model in Section 3.5.</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the high PPV partly reflects the 84% non-retention base rate (a ~10-point precision gain over base-rate prediction), and NPV = 0.20 means unflagged athletes are</w:t>
      </w:r>
      <w:r>
        <w:t xml:space="preserve"> </w:t>
      </w:r>
      <w:r>
        <w:rPr>
          <w:i/>
          <w:iCs/>
        </w:rPr>
        <w:t xml:space="preserve">not</w:t>
      </w:r>
      <w:r>
        <w:t xml:space="preserve"> </w:t>
      </w:r>
      <w:r>
        <w:t xml:space="preserve">“safe”</w:t>
      </w:r>
      <w:r>
        <w:t xml:space="preserve"> </w:t>
      </w:r>
      <w:r>
        <w:t xml:space="preserve">— roughly four in five of them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the reciprocal of the result count — few results force apparent concentration —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On the primary specification, the effect was robust to outcome definition (OR = 2.29, 2.40, 2.26 across the three definitions; Supplementary Table S9), to the fixed-window outcome (ages 20–22: OR = 2.43; Supplementary Table S24), to multiple imputation (OR = 2.35, 95% CI [2.08, 2.67];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cost-related reasons for leaving are cited more often by Norwegian youth from lower-income families</w:t>
      </w:r>
      <w:r>
        <w:t xml:space="preserve">10</w:t>
      </w:r>
      <w:r>
        <w:t xml:space="preserve">;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 dropout reason in the only long-term Norwegian track-and-field follow-up (24.3%)</w:t>
      </w:r>
      <w:r>
        <w:t xml:space="preserve">3</w:t>
      </w:r>
      <w:r>
        <w:t xml:space="preserve">,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w:t>
      </w:r>
      <w:r>
        <w:t xml:space="preserve">12</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t xml:space="preserve">6,7</w:t>
      </w:r>
      <w:r>
        <w:t xml:space="preserve"> </w:t>
      </w:r>
      <w:r>
        <w:t xml:space="preserve">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w:t>
      </w:r>
      <w:r>
        <w:t xml:space="preserve">34</w:t>
      </w:r>
      <w:r>
        <w:t xml:space="preserve"> </w:t>
      </w:r>
      <w:r>
        <w:t xml:space="preserve">Declining volume years before exit fits an eroding commitment balance, though the register cannot distinguish waning enthusiasm from accumulating constraint. Withdrawal-as-process accounts</w:t>
      </w:r>
      <w:r>
        <w:t xml:space="preserve">5,9</w:t>
      </w:r>
      <w:r>
        <w:t xml:space="preserve"> </w:t>
      </w:r>
      <w:r>
        <w:t xml:space="preserve">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register cannot separate the two, and the reallocation share is unbounded in our data. Norwegian participation research is compatible with both: ambition is strongly stratified among youth participants,</w:t>
      </w:r>
      <w:r>
        <w:t xml:space="preserve">11</w:t>
      </w:r>
      <w:r>
        <w:t xml:space="preserve"> </w:t>
      </w:r>
      <w:r>
        <w:t xml:space="preserve">and exit from organized sport can itself reclaim time and autonomy rather than mark a loss.</w:t>
      </w:r>
      <w:r>
        <w:t xml:space="preserve">35</w:t>
      </w:r>
      <w:r>
        <w:t xml:space="preserve"> </w:t>
      </w:r>
      <w:r>
        <w:t xml:space="preserve">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0.61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0.42) and females (HR = 0.46),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t xml:space="preserve">11</w:t>
      </w:r>
      <w:r>
        <w:t xml:space="preserve"> </w:t>
      </w:r>
      <w:r>
        <w:t xml:space="preserve">and the clearly higher female attrition in Enoksen’s</w:t>
      </w:r>
      <w: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primarily concerns diversification</w:t>
      </w:r>
      <w:r>
        <w:t xml:space="preserve"> </w:t>
      </w:r>
      <w:r>
        <w:rPr>
          <w:i/>
          <w:iCs/>
        </w:rPr>
        <w:t xml:space="preserve">across sports</w:t>
      </w:r>
      <w:r>
        <w:t xml:space="preserve"> </w:t>
      </w:r>
      <w:r>
        <w:t xml:space="preserve">— multisport sampling versus early single-sport specialization and its consequences for elite performance and athlete health.</w:t>
      </w:r>
      <w:r>
        <w:t xml:space="preserve">17,18</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w:t>
      </w:r>
      <w:r>
        <w:t xml:space="preserve">36</w:t>
      </w:r>
      <w:r>
        <w:t xml:space="preserve"> </w:t>
      </w:r>
      <w:r>
        <w:t xml:space="preserve">and blanket condemnation of early specialization has been argued to outrun the evidence</w:t>
      </w:r>
      <w:r>
        <w:t xml:space="preserve">37</w:t>
      </w:r>
      <w:r>
        <w:t xml:space="preserve"> </w:t>
      </w:r>
      <w:r>
        <w:t xml:space="preserve">—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into surveys,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w:t>
      </w:r>
      <w:r>
        <w:t xml:space="preserve">6,7</w:t>
      </w:r>
      <w:r>
        <w:t xml:space="preserve"> </w:t>
      </w:r>
      <w:r>
        <w:t xml:space="preserve">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w:t>
      </w:r>
      <w:r>
        <w:t xml:space="preserve">3</w:t>
      </w:r>
      <w:r>
        <w:t xml:space="preserve"> </w:t>
      </w:r>
      <w:r>
        <w:t xml:space="preserve">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the three venues cover eastern, mid, and western Norway (none northern).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Konkurranseregler og bestemmelser [Competition rules and regulations], https://www.friidrett.no/lover-og-regler/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2026-08-25T13:52:55Z</dcterms:created>
  <dcterms:modified xsi:type="dcterms:W3CDTF">2026-08-25T13:52:55Z</dcterms:modified>
</cp:coreProperties>
</file>

<file path=docProps/custom.xml><?xml version="1.0" encoding="utf-8"?>
<Properties xmlns="http://schemas.openxmlformats.org/officeDocument/2006/custom-properties" xmlns:vt="http://schemas.openxmlformats.org/officeDocument/2006/docPropsVTypes"/>
</file>