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captions"/>
    <w:p>
      <w:pPr>
        <w:pStyle w:val="Heading1"/>
      </w:pPr>
      <w:r>
        <w:t xml:space="preserve">Figure captions</w:t>
      </w:r>
    </w:p>
    <w:p>
      <w:pPr>
        <w:pStyle w:val="FirstParagraph"/>
      </w:pPr>
      <w:r>
        <w:t xml:space="preserve">(Each figure is submitted as a separate PNG file; captions are listed here for the manuscript.)</w:t>
      </w:r>
    </w:p>
    <w:p>
      <w:r>
        <w:pict>
          <v:rect style="width:0;height:1.5pt" o:hralign="center" o:hrstd="t" o:hr="t"/>
        </w:pic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dropouts show declining participation at age 15, while future retainers maintain or increase participation through age 17.</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 follow-up year 14; athletes in the lowest stratum retained 4%.</w:t>
      </w:r>
    </w:p>
    <w:p>
      <w:pPr>
        <w:pStyle w:val="BodyText"/>
      </w:pPr>
      <w:r>
        <w:rPr>
          <w:b/>
          <w:bCs/>
        </w:rPr>
        <w:t xml:space="preserve">Figure 4.</w:t>
      </w:r>
      <w:r>
        <w:t xml:space="preserve"> </w:t>
      </w:r>
      <w:r>
        <w:t xml:space="preserve">Time-varying hazard ratios for the full Cox model across three follow-up periods (years 0–3, 3–6, 6+ post-baseline). Hazard ratios are per-SD for standardized covariates (vol_milepael, Tyrving, HHI early) and per-unit for championship types and female. The dominant predictor — competition volume at age 15–16 — is highly protective in years 0–3 (HR = 0.14), moderately protective in years 3–6 (HR = 0.69), and indistinguishable from null in years 6+ (HR = 0.96).</w:t>
      </w:r>
    </w:p>
    <w:p>
      <w:r>
        <w:pict>
          <v:rect style="width:0;height:1.5pt" o:hralign="center" o:hrstd="t" o:hr="t"/>
        </w:pict>
      </w:r>
    </w:p>
    <w:bookmarkEnd w:id="9"/>
    <w:bookmarkStart w:id="10" w:name="supplementary-figure-captions"/>
    <w:p>
      <w:pPr>
        <w:pStyle w:val="Heading1"/>
      </w:pPr>
      <w:r>
        <w:t xml:space="preserve">Supplementary figure captions</w:t>
      </w:r>
    </w:p>
    <w:p>
      <w:pPr>
        <w:pStyle w:val="FirstParagraph"/>
      </w:pPr>
      <w:r>
        <w:rPr>
          <w:b/>
          <w:bCs/>
        </w:rPr>
        <w:t xml:space="preserve">Figure S1.</w:t>
      </w:r>
      <w:r>
        <w:t xml:space="preserve"> </w:t>
      </w:r>
      <w:r>
        <w:t xml:space="preserve">Calibration plot for the full Cox model. Predicted probability of senior retention is binned into deciles (x-axis); the y-axis shows the observed proportion retained in each decile. Points falling on the diagonal indicate perfect calibration.</w:t>
      </w:r>
    </w:p>
    <w:p>
      <w:pPr>
        <w:pStyle w:val="BodyText"/>
      </w:pPr>
      <w:r>
        <w:rPr>
          <w:b/>
          <w:bCs/>
        </w:rPr>
        <w:t xml:space="preserve">Figure S2.</w:t>
      </w:r>
      <w:r>
        <w:t xml:space="preserve"> </w:t>
      </w:r>
      <w:r>
        <w:t xml:space="preserve">Random forest variable importances (top 15) for predicting active senior status. Bars show the mean decrease in Gini impurity across 500 trees. Volume-based features dominate the top six positions; sex enters near the bottom. Reported as convergent non-parametric evidence for the Cox findings.</w:t>
      </w:r>
    </w:p>
    <w:p>
      <w:pPr>
        <w:pStyle w:val="BodyText"/>
      </w:pPr>
      <w:r>
        <w:rPr>
          <w:b/>
          <w:bCs/>
        </w:rPr>
        <w:t xml:space="preserve">Figure S3.</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0.95, p = 0.33.</w:t>
      </w:r>
    </w:p>
    <w:p>
      <w:pPr>
        <w:pStyle w:val="BodyText"/>
      </w:pPr>
      <w:r>
        <w:rPr>
          <w:b/>
          <w:bCs/>
        </w:rPr>
        <w:t xml:space="preserve">Figure S4.</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2026-05-18T00:08:23Z</dcterms:created>
  <dcterms:modified xsi:type="dcterms:W3CDTF">2026-05-18T00:08:23Z</dcterms:modified>
</cp:coreProperties>
</file>

<file path=docProps/custom.xml><?xml version="1.0" encoding="utf-8"?>
<Properties xmlns="http://schemas.openxmlformats.org/officeDocument/2006/custom-properties" xmlns:vt="http://schemas.openxmlformats.org/officeDocument/2006/docPropsVTypes"/>
</file>