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function of sport enjoyment, personal investments, social constraints, involvement opportunities, and attractive alternatives — a balance that erodes incrementally rather than collapsing in a single decision. Self-determination theory (SDT; Ryan &amp; Deci, 2000) and its sport applications (Vallerand, 1997, 2007; Sarrazin et al., 2002) make a parallel prediction: athletes whose participation is sustained by well-internalized motivation persist when the demands of organized sport escalate, whereas athletes whose participation is sustained by external pressure progressively withdraw.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w:t>
      </w:r>
    </w:p>
    <w:p>
      <w:pPr>
        <w:pStyle w:val="BodyText"/>
      </w:pPr>
      <w:r>
        <w:t xml:space="preserve">A complementary observation, articulated most clearly in Wall and Côté’s (2007) developmental-activity work and in Espedalen’s recent Norwegian programme (Espedalen, 2025), is that organized youth sport contains</w:t>
      </w:r>
      <w:r>
        <w:t xml:space="preserve"> </w:t>
      </w:r>
      <w:r>
        <w:rPr>
          <w:i/>
          <w:iCs/>
        </w:rPr>
        <w:t xml:space="preserve">two distinct sub-populations</w:t>
      </w:r>
      <w:r>
        <w:t xml:space="preserve">: a smaller group of</w:t>
      </w:r>
      <w:r>
        <w:t xml:space="preserve"> </w:t>
      </w:r>
      <w:r>
        <w:t xml:space="preserve">“investors”</w:t>
      </w:r>
      <w:r>
        <w:t xml:space="preserve"> </w:t>
      </w:r>
      <w:r>
        <w:t xml:space="preserve">or</w:t>
      </w:r>
      <w:r>
        <w:t xml:space="preserve"> </w:t>
      </w:r>
      <w:r>
        <w:t xml:space="preserve">“engaged enthusiasts”</w:t>
      </w:r>
      <w:r>
        <w:t xml:space="preserve"> </w:t>
      </w:r>
      <w:r>
        <w:t xml:space="preserve">whose sport identity is robustly integrated with their wider lives, and a larger group of</w:t>
      </w:r>
      <w:r>
        <w:t xml:space="preserve"> </w:t>
      </w:r>
      <w:r>
        <w:t xml:space="preserve">“samplers”</w:t>
      </w:r>
      <w:r>
        <w:t xml:space="preserve"> </w:t>
      </w:r>
      <w:r>
        <w:t xml:space="preserve">or</w:t>
      </w:r>
      <w:r>
        <w:t xml:space="preserve"> </w:t>
      </w:r>
      <w:r>
        <w:t xml:space="preserve">“constrained casuals”</w:t>
      </w:r>
      <w:r>
        <w:t xml:space="preserve"> </w:t>
      </w:r>
      <w:r>
        <w:t xml:space="preserve">oriented toward easily accessible enjoyment who readily move between activities. When the demands of organized sport escalate around the qualification-milestone years — in Norwegian track and field, the Youth National Championships at age 15–16 and the Junior National Championships at age 17–19 — the second group disengages.</w:t>
      </w:r>
    </w:p>
    <w:bookmarkEnd w:id="11"/>
    <w:bookmarkStart w:id="12" w:name="the-quantitative-gap"/>
    <w:p>
      <w:pPr>
        <w:pStyle w:val="Heading2"/>
      </w:pPr>
      <w:r>
        <w:t xml:space="preserve">1.2 The quantitative gap</w:t>
      </w:r>
    </w:p>
    <w:p>
      <w:pPr>
        <w:pStyle w:val="FirstParagraph"/>
      </w:pPr>
      <w:r>
        <w:t xml:space="preserve">What this body of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from a sport are systematically harder to recruit into surveys (Eime et al., 2013), so the most informative cases tend to be missing. Second, the timescale on which the theoretical process is hypothesized to unfold (1–3 years) exceeds the follow-up window of most prospective designs; Sarrazin and colleagues’ (2002) 21-month study of female handballers is unusually long for the literature and still does not bridge the adolescent-to-junior transition.</w:t>
      </w:r>
    </w:p>
    <w:p>
      <w:pPr>
        <w:pStyle w:val="BodyText"/>
      </w:pPr>
      <w:r>
        <w:t xml:space="preserve">A separate quantitative tradition has focused on</w:t>
      </w:r>
      <w:r>
        <w:t xml:space="preserve"> </w:t>
      </w:r>
      <w:r>
        <w:rPr>
          <w:i/>
          <w:iCs/>
        </w:rPr>
        <w:t xml:space="preserve">cross-sectional</w:t>
      </w:r>
      <w:r>
        <w:t xml:space="preserve"> </w:t>
      </w:r>
      <w:r>
        <w:t xml:space="preserve">correlates of dropout — relative age effects (Cobley et al., 2009; Wattie et al., 2015), early specialization (DiFiori et al., 2014; Jayanthi et al., 2015; Côté &amp; Hancock, 2016; Güllich et al., 2022), and selection-window performance (Crane &amp; Temple, 2015) — and on short longitudinal designs measuring proximal psychological correlates such as exhaustion, burnout, and motivational climate (Kuokkanen et al., 2026; Worley &amp; Smith, 2026; Zhong et al., 2026). What has not been examined, to our knowledge, is the</w:t>
      </w:r>
      <w:r>
        <w:t xml:space="preserve"> </w:t>
      </w:r>
      <w:r>
        <w:rPr>
          <w:i/>
          <w:iCs/>
        </w:rPr>
        <w:t xml:space="preserve">trajectory</w:t>
      </w:r>
      <w:r>
        <w:t xml:space="preserve"> </w:t>
      </w:r>
      <w:r>
        <w:t xml:space="preserve">of registered competition behavior across the adolescent window as an observable proxy for the engagement balance that the qualitative literature describes. The need is timely: Peringa et al. (2026) recently showed that expert intuition fails to identify future athletes reliably, and Baker et al. (2026) noted that emerging algorithmic approaches to athlete development have so far been applied to selection rather than to retention. Behavioral surveillance of competitive engagement is a low-cost candidate that sidesteps both problems.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test three pre-registered-by-design hypotheses. First, behavioral trajectories of future retainers and future dropouts should</w:t>
      </w:r>
      <w:r>
        <w:t xml:space="preserve"> </w:t>
      </w:r>
      <w:r>
        <w:rPr>
          <w:i/>
          <w:iCs/>
        </w:rPr>
        <w:t xml:space="preserve">diverge</w:t>
      </w:r>
      <w:r>
        <w:t xml:space="preserve"> </w:t>
      </w:r>
      <w:r>
        <w:t xml:space="preserve">before formal exit — consistent with the dropout-as-process prediction. Second,</w:t>
      </w:r>
      <w:r>
        <w:t xml:space="preserve"> </w:t>
      </w:r>
      <w:r>
        <w:rPr>
          <w:i/>
          <w:iCs/>
        </w:rPr>
        <w:t xml:space="preserve">behavioral</w:t>
      </w:r>
      <w:r>
        <w:t xml:space="preserve"> </w:t>
      </w:r>
      <w:r>
        <w:t xml:space="preserve">engagement indicators (competition volume, breadth of championship participation) should classify eventual senior retention more strongly than baseline</w:t>
      </w:r>
      <w:r>
        <w:t xml:space="preserve"> </w:t>
      </w:r>
      <w:r>
        <w:rPr>
          <w:i/>
          <w:iCs/>
        </w:rPr>
        <w:t xml:space="preserve">performance</w:t>
      </w:r>
      <w:r>
        <w:t xml:space="preserve"> </w:t>
      </w:r>
      <w:r>
        <w:t xml:space="preserve">— consistent with the SCM prediction that the engagement balance, not absolute capability, drives continuation. Third, the predictive pattern should</w:t>
      </w:r>
      <w:r>
        <w:t xml:space="preserve"> </w:t>
      </w:r>
      <w:r>
        <w:rPr>
          <w:i/>
          <w:iCs/>
        </w:rPr>
        <w:t xml:space="preserve">replicate</w:t>
      </w:r>
      <w:r>
        <w:t xml:space="preserve"> </w:t>
      </w:r>
      <w:r>
        <w:t xml:space="preserve">across cohorts recruited under different sponsor regimes of the same meet — testing that this is a behavioral mechanism rather than a cohort-specific artefact.</w:t>
      </w:r>
    </w:p>
    <w:p>
      <w:pPr>
        <w:pStyle w:val="BodyText"/>
      </w:pPr>
      <w:r>
        <w:t xml:space="preserve">We address these questions in 2,123 Norwegian youth athletes followed for up to 14 years. The design treats register-based competition behavior not as a direct measure of subjective motivation but as an</w:t>
      </w:r>
      <w:r>
        <w:t xml:space="preserve"> </w:t>
      </w:r>
      <w:r>
        <w:rPr>
          <w:i/>
          <w:iCs/>
        </w:rPr>
        <w:t xml:space="preserve">observable behavioral marker</w:t>
      </w:r>
      <w:r>
        <w:t xml:space="preserve"> </w:t>
      </w:r>
      <w:r>
        <w:t xml:space="preserve">whose temporal structure can be compared against the predictions of accounts that have been argued primarily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had a hazard ratio of 0.352 per SD (95% CI: 0.327–0.380, p &lt; .001), corresponding to an approximately three-fold reduction in dropout hazard for a one-SD increase in milestone-window competition volume. The previously significant Tyrving coefficient became non-significant once volume was entered (HR = 1.04, p = 0.17): once an athlete’s behavioral engagement at the milestone is known, knowing their baseline performance adds little.</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A second check used the</w:t>
      </w:r>
      <w:r>
        <w:t xml:space="preserve"> </w:t>
      </w:r>
      <w:r>
        <w:rPr>
          <w:i/>
          <w:iCs/>
        </w:rPr>
        <w:t xml:space="preserve">pre-milestone</w:t>
      </w:r>
      <w:r>
        <w:t xml:space="preserve"> </w:t>
      </w:r>
      <w:r>
        <w:t xml:space="preserve">(ages 13–14) volume alone as the only behavioral predictor (Supplementary Table S10). Pre-milestone volume predicted senior retention with HR = 0.50 per SD (95% CI [0.46, 0.53], p &lt; .001) — almost as strongly as the milestone-window variable, despite being measured at baseline rather than after it. The behavioral signal is detectable</w:t>
      </w:r>
      <w:r>
        <w:t xml:space="preserve"> </w:t>
      </w:r>
      <w:r>
        <w:rPr>
          <w:i/>
          <w:iCs/>
        </w:rPr>
        <w:t xml:space="preserve">before</w:t>
      </w:r>
      <w:r>
        <w:t xml:space="preserve"> </w:t>
      </w:r>
      <w:r>
        <w:t xml:space="preserve">the age 15–16 window, ruling out an interpretation in which it merely reflects dropouts already in progress.</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At all thresholds, PPV ≥ 0.95 — the rule</w:t>
      </w:r>
      <w:r>
        <w:t xml:space="preserve"> </w:t>
      </w:r>
      <w:r>
        <w:t xml:space="preserve">“flag athletes whose milestone-window volume is below threshold”</w:t>
      </w:r>
      <w:r>
        <w:t xml:space="preserve"> </w:t>
      </w:r>
      <w:r>
        <w:t xml:space="preserve">is consistently informative.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these findings are not artefacts of measurement-tautology. Among the 1,167 athletes still demonstrably active at age 16, milestone-window volume remained the dominant predictor of subsequent senior retention (HR = 0.60 per SD, C-index = 0.735). The signal was also detectable using only</w:t>
      </w:r>
      <w:r>
        <w:t xml:space="preserve"> </w:t>
      </w:r>
      <w:r>
        <w:rPr>
          <w:i/>
          <w:iCs/>
        </w:rPr>
        <w:t xml:space="preserve">pre-milestone</w:t>
      </w:r>
      <w:r>
        <w:t xml:space="preserve"> </w:t>
      </w:r>
      <w:r>
        <w:t xml:space="preserve">(ages 13–14) competition volume (HR = 0.50 per SD), demonstrating that the behavioral antecedent exists</w:t>
      </w:r>
      <w:r>
        <w:t xml:space="preserve"> </w:t>
      </w:r>
      <w:r>
        <w:rPr>
          <w:i/>
          <w:iCs/>
        </w:rPr>
        <w:t xml:space="preserve">before</w:t>
      </w:r>
      <w:r>
        <w:t xml:space="preserve"> </w:t>
      </w:r>
      <w:r>
        <w:t xml:space="preserve">the qualification window itself. Effects were robust to outcome definition, club clustering, missing-data treatment, and an unmeasured-confounder E-value of 5.16. Period-specific Cox modelling showed that the protective volume effect is concentrated in the first three years post-baseline (HR = 0.14, ages 13–17) and dissipates among athletes who survive past the junior transition (HR = 0.96, age 19+), consistent with the substantive interpretation that the behavioral signal predicts</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2026-05-18T00:08:23Z</dcterms:created>
  <dcterms:modified xsi:type="dcterms:W3CDTF">2026-05-18T00:08:23Z</dcterms:modified>
</cp:coreProperties>
</file>

<file path=docProps/custom.xml><?xml version="1.0" encoding="utf-8"?>
<Properties xmlns="http://schemas.openxmlformats.org/officeDocument/2006/custom-properties" xmlns:vt="http://schemas.openxmlformats.org/officeDocument/2006/docPropsVTypes"/>
</file>