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“Pulling back before pulling out: Behavioral disengagement precedes youth-sport dropout by years in a 14-year register study,”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Baseline-window competition volume (ages 13–14) was the dominant prospective predictor of senior retention in logistic regression using only baseline predictors (OR = 2.40 per SD, 95% CI [2.07, 2.78]; cross-validated AUC = 0.751). Effects were unchanged with structural controls (region, birth quarter, club size all non-significant). The behavioral signal decomposes into two substantial and independent components: baseline behavioral heterogeneity (volume at age 14, OR = 2.79) and a within-athlete pull-back across the age-14-to-15 transition (change OR = 2.44; pseudo-</w:t>
      </w:r>
      <w:r>
        <w:rPr>
          <w:i/>
          <w:iCs/>
        </w:rPr>
        <w:t xml:space="preserve">R</w:t>
      </w:r>
      <w:r>
        <w:t xml:space="preserve">² doubles from 0.11 to 0.23).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1,400-word reference list, with seven main tables and four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analyses, detection-capacity benchmarking) and (ii) theoretical triangulation that establishes the contribution. Twelve supplementary tables (S1–S12) and four supplementary figures (S1–S4)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2026-05-18T14:32:38Z</dcterms:created>
  <dcterms:modified xsi:type="dcterms:W3CDTF">2026-05-18T14:32:38Z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