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ables"/>
    <w:p>
      <w:pPr>
        <w:pStyle w:val="Heading1"/>
      </w:pPr>
      <w:r>
        <w:t xml:space="preserve">Tables</w:t>
      </w:r>
    </w:p>
    <w:p>
      <w:pPr>
        <w:pStyle w:val="FirstParagraph"/>
      </w:pPr>
      <w:r>
        <w:t xml:space="preserve">(Submitted as editable text; in the final Word manuscript, each table on its own page after the references. Supplementary Tables S1–S17 follow as supplementary material.)</w:t>
      </w:r>
    </w:p>
    <w:p>
      <w:r>
        <w:pict>
          <v:rect style="width:0;height:1.5pt" o:hralign="center" o:hrstd="t" o:hr="t"/>
        </w:pict>
      </w:r>
    </w:p>
    <w:bookmarkStart w:id="9" w:name="X3f3effad2eaa83c7207be569d73957223d2e30a"/>
    <w:p>
      <w:pPr>
        <w:pStyle w:val="Heading2"/>
      </w:pPr>
      <w:r>
        <w:t xml:space="preserve">Table 1. Cohort characteristics by birth-year cohort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t xml:space="preserve">Cohort A (1998–2000)</w:t>
            </w:r>
          </w:p>
        </w:tc>
        <w:tc>
          <w:tcPr/>
          <w:p>
            <w:pPr>
              <w:pStyle w:val="Compact"/>
            </w:pPr>
            <w:r>
              <w:t xml:space="preserve">Cohort B (2001–2002)</w:t>
            </w:r>
          </w:p>
        </w:tc>
        <w:tc>
          <w:tcPr/>
          <w:p>
            <w:pPr>
              <w:pStyle w:val="Compact"/>
            </w:pPr>
            <w:r>
              <w:t xml:space="preserve">All cohorts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1,301</w:t>
            </w:r>
          </w:p>
        </w:tc>
        <w:tc>
          <w:tcPr/>
          <w:p>
            <w:pPr>
              <w:pStyle w:val="Compact"/>
            </w:pPr>
            <w:r>
              <w:t xml:space="preserve">822</w:t>
            </w:r>
          </w:p>
        </w:tc>
        <w:tc>
          <w:tcPr/>
          <w:p>
            <w:pPr>
              <w:pStyle w:val="Compact"/>
            </w:pPr>
            <w:r>
              <w:t xml:space="preserve">2,123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Male (n)</w:t>
            </w:r>
          </w:p>
        </w:tc>
        <w:tc>
          <w:tcPr/>
          <w:p>
            <w:pPr>
              <w:pStyle w:val="Compact"/>
            </w:pPr>
            <w:r>
              <w:t xml:space="preserve">603</w:t>
            </w:r>
          </w:p>
        </w:tc>
        <w:tc>
          <w:tcPr/>
          <w:p>
            <w:pPr>
              <w:pStyle w:val="Compact"/>
            </w:pPr>
            <w:r>
              <w:t xml:space="preserve">393</w:t>
            </w:r>
          </w:p>
        </w:tc>
        <w:tc>
          <w:tcPr/>
          <w:p>
            <w:pPr>
              <w:pStyle w:val="Compac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 (n)</w:t>
            </w:r>
          </w:p>
        </w:tc>
        <w:tc>
          <w:tcPr/>
          <w:p>
            <w:pPr>
              <w:pStyle w:val="Compact"/>
            </w:pPr>
            <w:r>
              <w:t xml:space="preserve">684</w:t>
            </w:r>
          </w:p>
        </w:tc>
        <w:tc>
          <w:tcPr/>
          <w:p>
            <w:pPr>
              <w:pStyle w:val="Compact"/>
            </w:pPr>
            <w:r>
              <w:t xml:space="preserve">419</w:t>
            </w:r>
          </w:p>
        </w:tc>
        <w:tc>
          <w:tcPr/>
          <w:p>
            <w:pPr>
              <w:pStyle w:val="Compact"/>
            </w:pPr>
            <w:r>
              <w:t xml:space="preserve">1,103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 unknown (n)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career length (years)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at age 17 (%)</w:t>
            </w:r>
          </w:p>
        </w:tc>
        <w:tc>
          <w:tcPr/>
          <w:p>
            <w:pPr>
              <w:pStyle w:val="Compact"/>
            </w:pPr>
            <w:r>
              <w:t xml:space="preserve">41.0</w:t>
            </w:r>
          </w:p>
        </w:tc>
        <w:tc>
          <w:tcPr/>
          <w:p>
            <w:pPr>
              <w:pStyle w:val="Compact"/>
            </w:pPr>
            <w:r>
              <w:t xml:space="preserve">41.6</w:t>
            </w:r>
          </w:p>
        </w:tc>
        <w:tc>
          <w:tcPr/>
          <w:p>
            <w:pPr>
              <w:pStyle w:val="Compact"/>
            </w:pPr>
            <w:r>
              <w:t xml:space="preserve">41.3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at age 20 (%)</w:t>
            </w:r>
          </w:p>
        </w:tc>
        <w:tc>
          <w:tcPr/>
          <w:p>
            <w:pPr>
              <w:pStyle w:val="Compact"/>
            </w:pPr>
            <w:r>
              <w:t xml:space="preserve">15.8</w:t>
            </w:r>
          </w:p>
        </w:tc>
        <w:tc>
          <w:tcPr/>
          <w:p>
            <w:pPr>
              <w:pStyle w:val="Compact"/>
            </w:pPr>
            <w:r>
              <w:t xml:space="preserve">17.3</w:t>
            </w:r>
          </w:p>
        </w:tc>
        <w:tc>
          <w:tcPr/>
          <w:p>
            <w:pPr>
              <w:pStyle w:val="Compact"/>
            </w:pPr>
            <w:r>
              <w:t xml:space="preserve">16.4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Still active in 2024 or later (%)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10.8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Tyrving best at baseline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competitions at ages 13–14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“Active”</w:t>
      </w:r>
      <w:r>
        <w:t xml:space="preserve"> </w:t>
      </w:r>
      <w:r>
        <w:t xml:space="preserve">indicates ≥2 registered competition results in any calendar year at the specified age. Tyrving points = Norwegian Athletics Federation’s age-norm score where 1,000 =</w:t>
      </w:r>
      <w:r>
        <w:t xml:space="preserve"> </w:t>
      </w:r>
      <w:r>
        <w:t xml:space="preserve">“excellent”</w:t>
      </w:r>
      <w:r>
        <w:t xml:space="preserve"> </w:t>
      </w:r>
      <w:r>
        <w:t xml:space="preserve">for that event × sex × age combination.</w:t>
      </w:r>
    </w:p>
    <w:p>
      <w:r>
        <w:pict>
          <v:rect style="width:0;height:1.5pt" o:hralign="center" o:hrstd="t" o:hr="t"/>
        </w:pict>
      </w:r>
    </w:p>
    <w:bookmarkEnd w:id="9"/>
    <w:bookmarkStart w:id="10" w:name="X9a6c38783434298188d0179517197b4d55f1fe6"/>
    <w:p>
      <w:pPr>
        <w:pStyle w:val="Heading2"/>
      </w:pPr>
      <w:r>
        <w:t xml:space="preserve">Table 2. Competition volume trajectory by senior-retention status (median competitions per year and IQR)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Age 13</w:t>
            </w:r>
          </w:p>
        </w:tc>
        <w:tc>
          <w:tcPr/>
          <w:p>
            <w:pPr>
              <w:pStyle w:val="Compact"/>
            </w:pPr>
            <w:r>
              <w:t xml:space="preserve">Age 14</w:t>
            </w:r>
          </w:p>
        </w:tc>
        <w:tc>
          <w:tcPr/>
          <w:p>
            <w:pPr>
              <w:pStyle w:val="Compact"/>
            </w:pPr>
            <w:r>
              <w:t xml:space="preserve">Age 15</w:t>
            </w:r>
          </w:p>
        </w:tc>
        <w:tc>
          <w:tcPr/>
          <w:p>
            <w:pPr>
              <w:pStyle w:val="Compact"/>
            </w:pPr>
            <w:r>
              <w:t xml:space="preserve">Age 16</w:t>
            </w:r>
          </w:p>
        </w:tc>
        <w:tc>
          <w:tcPr/>
          <w:p>
            <w:pPr>
              <w:pStyle w:val="Compact"/>
            </w:pPr>
            <w:r>
              <w:t xml:space="preserve">Age 17</w:t>
            </w:r>
          </w:p>
        </w:tc>
        <w:tc>
          <w:tcPr/>
          <w:p>
            <w:pPr>
              <w:pStyle w:val="Compact"/>
            </w:pPr>
            <w:r>
              <w:t xml:space="preserve">Age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Senior retainers (active age ≥20)</w:t>
            </w:r>
          </w:p>
        </w:tc>
        <w:tc>
          <w:tcPr/>
          <w:p>
            <w:pPr>
              <w:pStyle w:val="Compact"/>
            </w:pPr>
            <w:r>
              <w:t xml:space="preserve">348</w:t>
            </w:r>
          </w:p>
        </w:tc>
        <w:tc>
          <w:tcPr/>
          <w:p>
            <w:pPr>
              <w:pStyle w:val="Compact"/>
            </w:pPr>
            <w:r>
              <w:t xml:space="preserve">13 [6–21]</w:t>
            </w:r>
          </w:p>
        </w:tc>
        <w:tc>
          <w:tcPr/>
          <w:p>
            <w:pPr>
              <w:pStyle w:val="Compact"/>
            </w:pPr>
            <w:r>
              <w:t xml:space="preserve">17 [10–25]</w:t>
            </w:r>
          </w:p>
        </w:tc>
        <w:tc>
          <w:tcPr/>
          <w:p>
            <w:pPr>
              <w:pStyle w:val="Compact"/>
            </w:pPr>
            <w:r>
              <w:t xml:space="preserve">19 [11–27]</w:t>
            </w:r>
          </w:p>
        </w:tc>
        <w:tc>
          <w:tcPr/>
          <w:p>
            <w:pPr>
              <w:pStyle w:val="Compact"/>
            </w:pPr>
            <w:r>
              <w:t xml:space="preserve">18 [10–26]</w:t>
            </w:r>
          </w:p>
        </w:tc>
        <w:tc>
          <w:tcPr/>
          <w:p>
            <w:pPr>
              <w:pStyle w:val="Compact"/>
            </w:pPr>
            <w:r>
              <w:t xml:space="preserve">17 [10–24]</w:t>
            </w:r>
          </w:p>
        </w:tc>
        <w:tc>
          <w:tcPr/>
          <w:p>
            <w:pPr>
              <w:pStyle w:val="Compact"/>
            </w:pPr>
            <w:r>
              <w:t xml:space="preserve">14 [7–20]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Dropouts (last active age &lt;20)</w:t>
            </w:r>
          </w:p>
        </w:tc>
        <w:tc>
          <w:tcPr/>
          <w:p>
            <w:pPr>
              <w:pStyle w:val="Compact"/>
            </w:pPr>
            <w:r>
              <w:t xml:space="preserve">1,775</w:t>
            </w:r>
          </w:p>
        </w:tc>
        <w:tc>
          <w:tcPr/>
          <w:p>
            <w:pPr>
              <w:pStyle w:val="Compact"/>
            </w:pPr>
            <w:r>
              <w:t xml:space="preserve">8 [4–13]</w:t>
            </w:r>
          </w:p>
        </w:tc>
        <w:tc>
          <w:tcPr/>
          <w:p>
            <w:pPr>
              <w:pStyle w:val="Compact"/>
            </w:pPr>
            <w:r>
              <w:t xml:space="preserve">8 [3–14]</w:t>
            </w:r>
          </w:p>
        </w:tc>
        <w:tc>
          <w:tcPr/>
          <w:p>
            <w:pPr>
              <w:pStyle w:val="Compact"/>
            </w:pPr>
            <w:r>
              <w:t xml:space="preserve">3 [0–11]</w:t>
            </w:r>
          </w:p>
        </w:tc>
        <w:tc>
          <w:tcPr/>
          <w:p>
            <w:pPr>
              <w:pStyle w:val="Compact"/>
            </w:pPr>
            <w:r>
              <w:t xml:space="preserve">0 [0–7]</w:t>
            </w:r>
          </w:p>
        </w:tc>
        <w:tc>
          <w:tcPr/>
          <w:p>
            <w:pPr>
              <w:pStyle w:val="Compact"/>
            </w:pPr>
            <w:r>
              <w:t xml:space="preserve">0 [0–2]</w:t>
            </w:r>
          </w:p>
        </w:tc>
        <w:tc>
          <w:tcPr/>
          <w:p>
            <w:pPr>
              <w:pStyle w:val="Compact"/>
            </w:pPr>
            <w:r>
              <w:t xml:space="preserve">0 [0–0]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Values are median number of meets per year [IQR]. Future retainers and future dropouts already differ at ages 13–14; the gap widens further across the age-14-to-15 transition.</w:t>
      </w:r>
    </w:p>
    <w:p>
      <w:r>
        <w:pict>
          <v:rect style="width:0;height:1.5pt" o:hralign="center" o:hrstd="t" o:hr="t"/>
        </w:pict>
      </w:r>
    </w:p>
    <w:bookmarkEnd w:id="10"/>
    <w:bookmarkStart w:id="11" w:name="Xb8cde947c4ddc1e5df834e78ab22bae1a1fbba6"/>
    <w:p>
      <w:pPr>
        <w:pStyle w:val="Heading2"/>
      </w:pPr>
      <w:r>
        <w:t xml:space="preserve">Table 3. Primary analysis: prospective logistic regression for active senior status (baseline-only predictors, ages 13–14)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CV-AUC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L1: Sex only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[0.56, 0.93]</w:t>
            </w:r>
          </w:p>
        </w:tc>
        <w:tc>
          <w:tcPr/>
          <w:p>
            <w:pPr>
              <w:pStyle w:val="Compact"/>
            </w:pPr>
            <w:r>
              <w:t xml:space="preserve">.012</w:t>
            </w:r>
          </w:p>
        </w:tc>
        <w:tc>
          <w:tcPr/>
          <w:p>
            <w:pPr>
              <w:pStyle w:val="Compact"/>
            </w:pPr>
            <w:r>
              <w:t xml:space="preserve">0.541 (±0.023)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L2: + Performance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[0.52, 0.88]</w:t>
            </w:r>
          </w:p>
        </w:tc>
        <w:tc>
          <w:tcPr/>
          <w:p>
            <w:pPr>
              <w:pStyle w:val="Compact"/>
            </w:pPr>
            <w:r>
              <w:t xml:space="preserve">.003</w:t>
            </w:r>
          </w:p>
        </w:tc>
        <w:tc>
          <w:tcPr/>
          <w:p>
            <w:pPr>
              <w:pStyle w:val="Compact"/>
            </w:pPr>
            <w:r>
              <w:t xml:space="preserve">0.607 (±0.014)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1.41</w:t>
            </w:r>
          </w:p>
        </w:tc>
        <w:tc>
          <w:tcPr/>
          <w:p>
            <w:pPr>
              <w:pStyle w:val="Compact"/>
            </w:pPr>
            <w:r>
              <w:t xml:space="preserve">[1.22, 1.64]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L3: + Specialization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[0.53, 0.88]</w:t>
            </w:r>
          </w:p>
        </w:tc>
        <w:tc>
          <w:tcPr/>
          <w:p>
            <w:pPr>
              <w:pStyle w:val="Compact"/>
            </w:pPr>
            <w:r>
              <w:t xml:space="preserve">.004</w:t>
            </w:r>
          </w:p>
        </w:tc>
        <w:tc>
          <w:tcPr/>
          <w:p>
            <w:pPr>
              <w:pStyle w:val="Compact"/>
            </w:pPr>
            <w:r>
              <w:t xml:space="preserve">0.600 (±0.019)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1.41</w:t>
            </w:r>
          </w:p>
        </w:tc>
        <w:tc>
          <w:tcPr/>
          <w:p>
            <w:pPr>
              <w:pStyle w:val="Compact"/>
            </w:pPr>
            <w:r>
              <w:t xml:space="preserve">[1.22, 1.64]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[0.95, 1.24]</w:t>
            </w:r>
          </w:p>
        </w:tc>
        <w:tc>
          <w:tcPr/>
          <w:p>
            <w:pPr>
              <w:pStyle w:val="Compact"/>
            </w:pPr>
            <w:r>
              <w:t xml:space="preserve">.238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L4: + Pre-milestone volume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[0.46, 0.80]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0.751</w:t>
            </w:r>
            <w:r>
              <w:t xml:space="preserve"> </w:t>
            </w:r>
            <w:r>
              <w:t xml:space="preserve">(±0.026)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[0.96, 1.30]</w:t>
            </w:r>
          </w:p>
        </w:tc>
        <w:tc>
          <w:tcPr/>
          <w:p>
            <w:pPr>
              <w:pStyle w:val="Compact"/>
            </w:pPr>
            <w:r>
              <w:t xml:space="preserve">.144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1.36</w:t>
            </w:r>
          </w:p>
        </w:tc>
        <w:tc>
          <w:tcPr/>
          <w:p>
            <w:pPr>
              <w:pStyle w:val="Compact"/>
            </w:pPr>
            <w:r>
              <w:t xml:space="preserve">[1.17, 1.57]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[2.08, 2.76]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Logistic regression for binary active senior status (≥2 registered results in any year at age 20+). Predictors are observed during the baseline window (ages 13–14) only. Pre-milestone volume is the sum of distinct meets attended at ages 13 and 14. Continuous covariates are z-standardized so ORs reflect per-SD effects. Cross-validated AUC uses 5-fold stratified resampling. The pre-milestone volume coefficient is the dominant single-step gain (AUC 0.600 → 0.751). HHI becomes significant once volume is entered (mutual adjustment); the direction indicates that higher concentration in fewer event categories is associated with higher retention odds (see also Discussion 4.6).</w:t>
      </w:r>
    </w:p>
    <w:p>
      <w:r>
        <w:pict>
          <v:rect style="width:0;height:1.5pt" o:hralign="center" o:hrstd="t" o:hr="t"/>
        </w:pict>
      </w:r>
    </w:p>
    <w:bookmarkEnd w:id="11"/>
    <w:bookmarkStart w:id="12" w:name="Xead665dc21eb92f77ea82cce847e701a62b1bef"/>
    <w:p>
      <w:pPr>
        <w:pStyle w:val="Heading2"/>
      </w:pPr>
      <w:r>
        <w:t xml:space="preserve">Table 4. Pull-back versus baseline heterogeneity: volume level and within-athlete change</w:t>
      </w:r>
    </w:p>
    <w:p>
      <w:pPr>
        <w:pStyle w:val="FirstParagraph"/>
      </w:pPr>
      <w:r>
        <w:t xml:space="preserve">Athletes still active at age 14 (n = 1,914).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M1: Volume at age 14 only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[0.46, 0.81]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[0.96, 1.30]</w:t>
            </w:r>
          </w:p>
        </w:tc>
        <w:tc>
          <w:tcPr/>
          <w:p>
            <w:pPr>
              <w:pStyle w:val="Compact"/>
            </w:pPr>
            <w:r>
              <w:t xml:space="preserve">.167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14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[1.94, 2.57]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M2: + Volume change 14→15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[0.44, 0.81]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[0.86, 1.19]</w:t>
            </w:r>
          </w:p>
        </w:tc>
        <w:tc>
          <w:tcPr/>
          <w:p>
            <w:pPr>
              <w:pStyle w:val="Compact"/>
            </w:pPr>
            <w:r>
              <w:t xml:space="preserve">.882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14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[2.37, 3.28]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change 14→15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[2.10, 2.83]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Pseudo-</w:t>
      </w:r>
      <w:r>
        <w:rPr>
          <w:i/>
          <w:iCs/>
        </w:rPr>
        <w:t xml:space="preserve">R</w:t>
      </w:r>
      <w:r>
        <w:t xml:space="preserve">² rose from 0.113 (M1) to 0.227 (M2) — within-athlete change adds substantial information conditional on baseline level. A one-SD greater decline from age 14 to age 15 was associated with 2.4-times lower retention odds, conditional on level at age 14. Both baseline level and within-athlete pull-back contribute substantially and independently.</w:t>
      </w:r>
    </w:p>
    <w:p>
      <w:r>
        <w:pict>
          <v:rect style="width:0;height:1.5pt" o:hralign="center" o:hrstd="t" o:hr="t"/>
        </w:pict>
      </w:r>
    </w:p>
    <w:bookmarkEnd w:id="12"/>
    <w:bookmarkStart w:id="13" w:name="X26906ff415d5e711796d5b4eb2458551a966eca"/>
    <w:p>
      <w:pPr>
        <w:pStyle w:val="Heading2"/>
      </w:pPr>
      <w:r>
        <w:t xml:space="preserve">Table 5. Time-varying hazard ratios (post-baseline Cox specification, period-specific)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Years 0–3 (age 13–17)</w:t>
            </w:r>
          </w:p>
        </w:tc>
        <w:tc>
          <w:tcPr/>
          <w:p>
            <w:pPr>
              <w:pStyle w:val="Compact"/>
            </w:pPr>
            <w:r>
              <w:t xml:space="preserve">Years 3–6 (age 16–19)</w:t>
            </w:r>
          </w:p>
        </w:tc>
        <w:tc>
          <w:tcPr/>
          <w:p>
            <w:pPr>
              <w:pStyle w:val="Compact"/>
            </w:pPr>
            <w:r>
              <w:t xml:space="preserve">Years 6+ (age 19+)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(per SD)</w:t>
            </w:r>
          </w:p>
        </w:tc>
        <w:tc>
          <w:tcPr/>
          <w:p>
            <w:pPr>
              <w:pStyle w:val="Compact"/>
            </w:pPr>
            <w:r>
              <w:t xml:space="preserve">0.14 [0.11, 0.16]</w:t>
            </w:r>
          </w:p>
        </w:tc>
        <w:tc>
          <w:tcPr/>
          <w:p>
            <w:pPr>
              <w:pStyle w:val="Compact"/>
            </w:pPr>
            <w:r>
              <w:t xml:space="preserve">0.69 [0.60, 0.79]</w:t>
            </w:r>
          </w:p>
        </w:tc>
        <w:tc>
          <w:tcPr/>
          <w:p>
            <w:pPr>
              <w:pStyle w:val="Compact"/>
            </w:pPr>
            <w:r>
              <w:t xml:space="preserve">0.96 [0.77, 1.19]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 (count)</w:t>
            </w:r>
          </w:p>
        </w:tc>
        <w:tc>
          <w:tcPr/>
          <w:p>
            <w:pPr>
              <w:pStyle w:val="Compact"/>
            </w:pPr>
            <w:r>
              <w:t xml:space="preserve">0.61 [0.55, 0.69]</w:t>
            </w:r>
          </w:p>
        </w:tc>
        <w:tc>
          <w:tcPr/>
          <w:p>
            <w:pPr>
              <w:pStyle w:val="Compact"/>
            </w:pPr>
            <w:r>
              <w:t xml:space="preserve">0.88 [0.79, 0.99]</w:t>
            </w:r>
          </w:p>
        </w:tc>
        <w:tc>
          <w:tcPr/>
          <w:p>
            <w:pPr>
              <w:pStyle w:val="Compact"/>
            </w:pPr>
            <w:r>
              <w:t xml:space="preserve">0.97 [0.78, 1.21]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1.07 [0.99, 1.15]</w:t>
            </w:r>
          </w:p>
        </w:tc>
        <w:tc>
          <w:tcPr/>
          <w:p>
            <w:pPr>
              <w:pStyle w:val="Compact"/>
            </w:pPr>
            <w:r>
              <w:t xml:space="preserve">0.92 [0.84, 1.01]</w:t>
            </w:r>
          </w:p>
        </w:tc>
        <w:tc>
          <w:tcPr/>
          <w:p>
            <w:pPr>
              <w:pStyle w:val="Compact"/>
            </w:pPr>
            <w:r>
              <w:t xml:space="preserve">0.94 [0.78, 1.13]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0.97 [0.91, 1.05]</w:t>
            </w:r>
          </w:p>
        </w:tc>
        <w:tc>
          <w:tcPr/>
          <w:p>
            <w:pPr>
              <w:pStyle w:val="Compact"/>
            </w:pPr>
            <w:r>
              <w:t xml:space="preserve">0.93 [0.85, 1.02]</w:t>
            </w:r>
          </w:p>
        </w:tc>
        <w:tc>
          <w:tcPr/>
          <w:p>
            <w:pPr>
              <w:pStyle w:val="Compact"/>
            </w:pPr>
            <w:r>
              <w:t xml:space="preserve">1.02 [0.85, 1.21]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1.16 [1.02, 1.31]</w:t>
            </w:r>
          </w:p>
        </w:tc>
        <w:tc>
          <w:tcPr/>
          <w:p>
            <w:pPr>
              <w:pStyle w:val="Compact"/>
            </w:pPr>
            <w:r>
              <w:t xml:space="preserve">1.06 [0.91, 1.23]</w:t>
            </w:r>
          </w:p>
        </w:tc>
        <w:tc>
          <w:tcPr/>
          <w:p>
            <w:pPr>
              <w:pStyle w:val="Compact"/>
            </w:pPr>
            <w:r>
              <w:t xml:space="preserve">1.09 [0.85, 1.39]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at risk in interval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669</w:t>
            </w:r>
          </w:p>
        </w:tc>
        <w:tc>
          <w:tcPr/>
          <w:p>
            <w:pPr>
              <w:pStyle w:val="Compact"/>
            </w:pPr>
            <w:r>
              <w:t xml:space="preserve">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in interval</w:t>
            </w:r>
          </w:p>
        </w:tc>
        <w:tc>
          <w:tcPr/>
          <w:p>
            <w:pPr>
              <w:pStyle w:val="Compact"/>
            </w:pPr>
            <w:r>
              <w:t xml:space="preserve">1,035</w:t>
            </w:r>
          </w:p>
        </w:tc>
        <w:tc>
          <w:tcPr/>
          <w:p>
            <w:pPr>
              <w:pStyle w:val="Compact"/>
            </w:pPr>
            <w:r>
              <w:t xml:space="preserve">399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C-index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0.582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Period-specific Cox estimates from the post-baseline specification with covariates measured at ages 15–16 and ≤17. The early-window HR for ages-15–16 volume partly reflects operational overlap between predictor and outcome (low milestone volume is mechanical for athletes who drop out before age 15); this estimate should be read as descriptive of the time-varying association rather than as an independent prospective effect. Substantively, the protective association attenuates across follow-up — consistent with proximal disengagement-marker interpretation.</w:t>
      </w:r>
    </w:p>
    <w:p>
      <w:r>
        <w:pict>
          <v:rect style="width:0;height:1.5pt" o:hralign="center" o:hrstd="t" o:hr="t"/>
        </w:pict>
      </w:r>
    </w:p>
    <w:bookmarkEnd w:id="13"/>
    <w:bookmarkStart w:id="14" w:name="Xb1aa18e3395192ff7ac564cba097915b7cb4ac8"/>
    <w:p>
      <w:pPr>
        <w:pStyle w:val="Heading2"/>
      </w:pPr>
      <w:r>
        <w:t xml:space="preserve">Table 6. Prospective early-warning thresholds (pre-milestone volume, ages 13–14)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Threshold (athletes flagged if vol &lt; )</w:t>
            </w:r>
          </w:p>
        </w:tc>
        <w:tc>
          <w:tcPr/>
          <w:p>
            <w:pPr>
              <w:pStyle w:val="Compact"/>
            </w:pPr>
            <w:r>
              <w:t xml:space="preserve">Flagged %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PPV</w:t>
            </w:r>
          </w:p>
        </w:tc>
        <w:tc>
          <w:tcPr/>
          <w:p>
            <w:pPr>
              <w:pStyle w:val="Compact"/>
            </w:pPr>
            <w:r>
              <w:t xml:space="preserve">NPV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meets</w:t>
            </w:r>
          </w:p>
        </w:tc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meets</w:t>
            </w:r>
          </w:p>
        </w:tc>
        <w:tc>
          <w:tcPr/>
          <w:p>
            <w:pPr>
              <w:pStyle w:val="Compact"/>
            </w:pPr>
            <w:r>
              <w:t xml:space="preserve">9.3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meets</w:t>
            </w:r>
          </w:p>
        </w:tc>
        <w:tc>
          <w:tcPr/>
          <w:p>
            <w:pPr>
              <w:pStyle w:val="Compact"/>
            </w:pPr>
            <w:r>
              <w:t xml:space="preserve">19.8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meets</w:t>
            </w:r>
          </w:p>
        </w:tc>
        <w:tc>
          <w:tcPr/>
          <w:p>
            <w:pPr>
              <w:pStyle w:val="Compact"/>
            </w:pPr>
            <w:r>
              <w:t xml:space="preserve">26.4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meets</w:t>
            </w:r>
          </w:p>
        </w:tc>
        <w:tc>
          <w:tcPr/>
          <w:p>
            <w:pPr>
              <w:pStyle w:val="Compact"/>
            </w:pPr>
            <w:r>
              <w:t xml:space="preserve">43.1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Calibration of pre-milestone (ages 13–14) competition volume as a prospective early-warning indicator, applicable at the end of an athlete’s age-14 season — before the qualification window opens. PPV is the proportion of flagged athletes who subsequently failed to retain senior activity. PPV remains ≥ 0.93 across thresholds; the choice trades sensitivity for cohort coverage. The high PPV partly reflects the population’s high base-rate of non-retention (84%); the behavioral threshold improves precision by 9–12 percentage points over base-rate prediction while providing graduated sensitivity that base-rate prediction does not.</w:t>
      </w:r>
    </w:p>
    <w:p>
      <w:r>
        <w:pict>
          <v:rect style="width:0;height:1.5pt" o:hralign="center" o:hrstd="t" o:hr="t"/>
        </w:pict>
      </w:r>
    </w:p>
    <w:bookmarkEnd w:id="14"/>
    <w:bookmarkStart w:id="15" w:name="Xe9b21a988fbcae595b6ca55e69894fe6653a1ba"/>
    <w:p>
      <w:pPr>
        <w:pStyle w:val="Heading2"/>
      </w:pPr>
      <w:r>
        <w:t xml:space="preserve">Table 7. Cross-cohort replication of the primary L4 logistic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1998–2000</w:t>
            </w:r>
          </w:p>
        </w:tc>
        <w:tc>
          <w:tcPr/>
          <w:p>
            <w:pPr>
              <w:pStyle w:val="Compact"/>
            </w:pPr>
            <w:r>
              <w:t xml:space="preserve">1,065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[0.34, 0.74]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[0.94, 1.39]</w:t>
            </w:r>
          </w:p>
        </w:tc>
        <w:tc>
          <w:tcPr/>
          <w:p>
            <w:pPr>
              <w:pStyle w:val="Compact"/>
            </w:pPr>
            <w:r>
              <w:t xml:space="preserve">.179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1.24</w:t>
            </w:r>
          </w:p>
        </w:tc>
        <w:tc>
          <w:tcPr/>
          <w:p>
            <w:pPr>
              <w:pStyle w:val="Compact"/>
            </w:pPr>
            <w:r>
              <w:t xml:space="preserve">[1.03, 1.51]</w:t>
            </w:r>
          </w:p>
        </w:tc>
        <w:tc>
          <w:tcPr/>
          <w:p>
            <w:pPr>
              <w:pStyle w:val="Compact"/>
            </w:pPr>
            <w:r>
              <w:t xml:space="preserve">.027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[1.86, 2.64]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2001–2002</w:t>
            </w:r>
          </w:p>
        </w:tc>
        <w:tc>
          <w:tcPr/>
          <w:p>
            <w:pPr>
              <w:pStyle w:val="Compact"/>
            </w:pPr>
            <w:r>
              <w:t xml:space="preserve">639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[0.55, 1.22]</w:t>
            </w:r>
          </w:p>
        </w:tc>
        <w:tc>
          <w:tcPr/>
          <w:p>
            <w:pPr>
              <w:pStyle w:val="Compact"/>
            </w:pPr>
            <w:r>
              <w:t xml:space="preserve">.333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[0.84, 1.32]</w:t>
            </w:r>
          </w:p>
        </w:tc>
        <w:tc>
          <w:tcPr/>
          <w:p>
            <w:pPr>
              <w:pStyle w:val="Compact"/>
            </w:pPr>
            <w:r>
              <w:t xml:space="preserve">.658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  <w:tc>
          <w:tcPr/>
          <w:p>
            <w:pPr>
              <w:pStyle w:val="Compact"/>
            </w:pPr>
            <w:r>
              <w:t xml:space="preserve">[1.25, 1.99]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[2.17, 3.58]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The primary baseline-only logistic model re-estimated separately within each birth-year cohort. Pre-milestone volume effect replicates in both cohorts at similar magnitude. The cohort difference in the female coefficient parallels the broader sex-effect pattern discussed in §4.5; HHI is significant in both cohorts in the same direction (higher concentration = higher retention).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34" w:name="supplementary-tables"/>
    <w:p>
      <w:pPr>
        <w:pStyle w:val="Heading1"/>
      </w:pPr>
      <w:r>
        <w:t xml:space="preserve">Supplementary Tables</w:t>
      </w:r>
    </w:p>
    <w:bookmarkStart w:id="17" w:name="X15a628438591e7215282a2bd8c683409f3f0afc"/>
    <w:p>
      <w:pPr>
        <w:pStyle w:val="Heading2"/>
      </w:pPr>
      <w:r>
        <w:t xml:space="preserve">Table S1. Proportional-hazards assumption test for the post-baseline Cox specification (Schoenfeld residuals)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χ²₁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2.50</w:t>
            </w:r>
          </w:p>
        </w:tc>
        <w:tc>
          <w:tcPr/>
          <w:p>
            <w:pPr>
              <w:pStyle w:val="Compact"/>
            </w:pPr>
            <w:r>
              <w:t xml:space="preserve">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.728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11.12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220.77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10.89</w:t>
            </w:r>
          </w:p>
        </w:tc>
        <w:tc>
          <w:tcPr/>
          <w:p>
            <w:pPr>
              <w:pStyle w:val="Compact"/>
            </w:pPr>
            <w:r>
              <w:t xml:space="preserve">.001</w:t>
            </w:r>
          </w:p>
        </w:tc>
      </w:tr>
    </w:tbl>
    <w:bookmarkEnd w:id="17"/>
    <w:bookmarkStart w:id="18" w:name="X5efa0e4ea7c9273d8e5bee5ada8e05eec14d582"/>
    <w:p>
      <w:pPr>
        <w:pStyle w:val="Heading2"/>
      </w:pPr>
      <w:r>
        <w:t xml:space="preserve">Table S2. Cluster-robust SE Cox (clustered on club)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Robust 95% CI</w:t>
            </w:r>
          </w:p>
        </w:tc>
        <w:tc>
          <w:tcPr/>
          <w:p>
            <w:pPr>
              <w:pStyle w:val="Compact"/>
            </w:pPr>
            <w:r>
              <w:t xml:space="preserve">p (robust)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[0.98, 1.28]</w:t>
            </w:r>
          </w:p>
        </w:tc>
        <w:tc>
          <w:tcPr/>
          <w:p>
            <w:pPr>
              <w:pStyle w:val="Compact"/>
            </w:pPr>
            <w:r>
              <w:t xml:space="preserve">.090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[0.99, 1.12]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[0.88, 1.04]</w:t>
            </w:r>
          </w:p>
        </w:tc>
        <w:tc>
          <w:tcPr/>
          <w:p>
            <w:pPr>
              <w:pStyle w:val="Compact"/>
            </w:pPr>
            <w:r>
              <w:t xml:space="preserve">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[0.40, 0.48]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[0.69, 0.80]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bookmarkEnd w:id="18"/>
    <w:bookmarkStart w:id="19" w:name="Xb3314dc8fb4dec101d71f2b9e359489d8f2d541"/>
    <w:p>
      <w:pPr>
        <w:pStyle w:val="Heading2"/>
      </w:pPr>
      <w:r>
        <w:t xml:space="preserve">Table S3. E-values for key effects (VanderWeele &amp; Ding, 2017)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E-value (point)</w:t>
            </w:r>
          </w:p>
        </w:tc>
        <w:tc>
          <w:tcPr/>
          <w:p>
            <w:pPr>
              <w:pStyle w:val="Compact"/>
            </w:pPr>
            <w:r>
              <w:t xml:space="preserve">E-value (CI bound)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(per SD)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[0.33, 0.38]</w:t>
            </w:r>
          </w:p>
        </w:tc>
        <w:tc>
          <w:tcPr/>
          <w:p>
            <w:pPr>
              <w:pStyle w:val="Compact"/>
            </w:pPr>
            <w:r>
              <w:t xml:space="preserve">5.16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 (per type)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[0.69, 0.80]</w:t>
            </w:r>
          </w:p>
        </w:tc>
        <w:tc>
          <w:tcPr/>
          <w:p>
            <w:pPr>
              <w:pStyle w:val="Compact"/>
            </w:pPr>
            <w:r>
              <w:t xml:space="preserve">2.04</w:t>
            </w:r>
          </w:p>
        </w:tc>
        <w:tc>
          <w:tcPr/>
          <w:p>
            <w:pPr>
              <w:pStyle w:val="Compact"/>
            </w:pPr>
            <w:r>
              <w:t xml:space="preserve">1.81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at baseline (per SD, M2)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[0.82, 0.90]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  <w:tc>
          <w:tcPr/>
          <w:p>
            <w:pPr>
              <w:pStyle w:val="Compact"/>
            </w:pPr>
            <w:r>
              <w:t xml:space="preserve">1.46</w:t>
            </w:r>
          </w:p>
        </w:tc>
      </w:tr>
    </w:tbl>
    <w:bookmarkEnd w:id="19"/>
    <w:bookmarkStart w:id="20" w:name="X51a846a8f036607c4d86aa6dc40dff1f8e38e62"/>
    <w:p>
      <w:pPr>
        <w:pStyle w:val="Heading2"/>
      </w:pPr>
      <w:r>
        <w:t xml:space="preserve">Table S4. Sample-size sensitivity: minimum detectable HR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Min. detectable HR (80% power, α = .05)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1,570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1998–2000</w:t>
            </w:r>
          </w:p>
        </w:tc>
        <w:tc>
          <w:tcPr/>
          <w:p>
            <w:pPr>
              <w:pStyle w:val="Compact"/>
            </w:pPr>
            <w:r>
              <w:t xml:space="preserve">1,065</w:t>
            </w:r>
          </w:p>
        </w:tc>
        <w:tc>
          <w:tcPr/>
          <w:p>
            <w:pPr>
              <w:pStyle w:val="Compact"/>
            </w:pPr>
            <w:r>
              <w:t xml:space="preserve">1,008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2001–2002</w:t>
            </w:r>
          </w:p>
        </w:tc>
        <w:tc>
          <w:tcPr/>
          <w:p>
            <w:pPr>
              <w:pStyle w:val="Compact"/>
            </w:pPr>
            <w:r>
              <w:t xml:space="preserve">639</w:t>
            </w:r>
          </w:p>
        </w:tc>
        <w:tc>
          <w:tcPr/>
          <w:p>
            <w:pPr>
              <w:pStyle w:val="Compact"/>
            </w:pPr>
            <w:r>
              <w:t xml:space="preserve">562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</w:tr>
    </w:tbl>
    <w:bookmarkEnd w:id="20"/>
    <w:bookmarkStart w:id="21" w:name="X7412c6aa52af0c16122eaafd611db1756b404cd"/>
    <w:p>
      <w:pPr>
        <w:pStyle w:val="Heading2"/>
      </w:pPr>
      <w:r>
        <w:t xml:space="preserve">Table S5. Complete-case vs mean-imputation sensitivity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 (complete case)</w:t>
            </w:r>
          </w:p>
        </w:tc>
        <w:tc>
          <w:tcPr/>
          <w:p>
            <w:pPr>
              <w:pStyle w:val="Compact"/>
            </w:pPr>
            <w:r>
              <w:t xml:space="preserve">HR (mean imputation)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2,123</w:t>
            </w:r>
          </w:p>
        </w:tc>
      </w:tr>
    </w:tbl>
    <w:bookmarkEnd w:id="21"/>
    <w:bookmarkStart w:id="22" w:name="X0c71959630f98098428a376eff52756fbaccabd"/>
    <w:p>
      <w:pPr>
        <w:pStyle w:val="Heading2"/>
      </w:pPr>
      <w:r>
        <w:t xml:space="preserve">Table S6. Cox model stratified on HHI tercile (sensitivity to PH violation)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.026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.093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bookmarkEnd w:id="22"/>
    <w:bookmarkStart w:id="23" w:name="Xbdfb7ef1209e388f6ef6b9899e3527031740490"/>
    <w:p>
      <w:pPr>
        <w:pStyle w:val="Heading2"/>
      </w:pPr>
      <w:r>
        <w:t xml:space="preserve">Table S7. Sex-stratified Cox subgroup analyses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Male</w:t>
            </w:r>
          </w:p>
        </w:tc>
        <w:tc>
          <w:tcPr/>
          <w:p>
            <w:pPr>
              <w:pStyle w:val="Compact"/>
            </w:pPr>
            <w:r>
              <w:t xml:space="preserve">805</w:t>
            </w: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[0.99, 1.15]</w:t>
            </w:r>
          </w:p>
        </w:tc>
        <w:tc>
          <w:tcPr/>
          <w:p>
            <w:pPr>
              <w:pStyle w:val="Compact"/>
            </w:pPr>
            <w:r>
              <w:t xml:space="preserve">.074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[0.85, 1.01]</w:t>
            </w:r>
          </w:p>
        </w:tc>
        <w:tc>
          <w:tcPr/>
          <w:p>
            <w:pPr>
              <w:pStyle w:val="Compact"/>
            </w:pPr>
            <w:r>
              <w:t xml:space="preserve">.083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[0.37, 0.48]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[0.66, 0.83]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899</w:t>
            </w: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[0.97, 1.11]</w:t>
            </w:r>
          </w:p>
        </w:tc>
        <w:tc>
          <w:tcPr/>
          <w:p>
            <w:pPr>
              <w:pStyle w:val="Compact"/>
            </w:pPr>
            <w:r>
              <w:t xml:space="preserve">.306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[0.92, 1.06]</w:t>
            </w:r>
          </w:p>
        </w:tc>
        <w:tc>
          <w:tcPr/>
          <w:p>
            <w:pPr>
              <w:pStyle w:val="Compact"/>
            </w:pPr>
            <w:r>
              <w:t xml:space="preserve">.770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[0.40, 0.52]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[0.67, 0.83]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C-index = 0.843 in both subgroups.</w:t>
      </w:r>
    </w:p>
    <w:bookmarkEnd w:id="23"/>
    <w:bookmarkStart w:id="24" w:name="X878d9f2c57ab1119cc6de90b81f42c987f5ce49"/>
    <w:p>
      <w:pPr>
        <w:pStyle w:val="Heading2"/>
      </w:pPr>
      <w:r>
        <w:t xml:space="preserve">Table S8. Landmark analysis at age 16 (post-baseline Cox, n = 1,167)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1.32</w:t>
            </w:r>
          </w:p>
        </w:tc>
        <w:tc>
          <w:tcPr/>
          <w:p>
            <w:pPr>
              <w:pStyle w:val="Compact"/>
            </w:pPr>
            <w:r>
              <w:t xml:space="preserve">[1.15, 1.52]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[0.94, 1.08]</w:t>
            </w:r>
          </w:p>
        </w:tc>
        <w:tc>
          <w:tcPr/>
          <w:p>
            <w:pPr>
              <w:pStyle w:val="Compact"/>
            </w:pPr>
            <w:r>
              <w:t xml:space="preserve">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[0.88, 1.02]</w:t>
            </w:r>
          </w:p>
        </w:tc>
        <w:tc>
          <w:tcPr/>
          <w:p>
            <w:pPr>
              <w:pStyle w:val="Compact"/>
            </w:pPr>
            <w:r>
              <w:t xml:space="preserve">.17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[0.54, 0.66]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[0.71, 0.87]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complete</w:t>
            </w:r>
          </w:p>
        </w:tc>
        <w:tc>
          <w:tcPr/>
          <w:p>
            <w:pPr>
              <w:pStyle w:val="Compact"/>
            </w:pPr>
            <w:r>
              <w:t xml:space="preserve">960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C-index</w:t>
            </w:r>
          </w:p>
        </w:tc>
        <w:tc>
          <w:tcPr/>
          <w:p>
            <w:pPr>
              <w:pStyle w:val="Compac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Athletes with ≥1 registered result at age 16, with follow-up time measured from age 16 forward.</w:t>
      </w:r>
    </w:p>
    <w:bookmarkEnd w:id="24"/>
    <w:bookmarkStart w:id="25" w:name="X1058f84d51582e9d3993a1a3c5d2fec6244da35"/>
    <w:p>
      <w:pPr>
        <w:pStyle w:val="Heading2"/>
      </w:pPr>
      <w:r>
        <w:t xml:space="preserve">Table S9. Outcome-definition sensitivity (logistic regression, full model)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Retainer n (%)</w:t>
            </w:r>
          </w:p>
        </w:tc>
        <w:tc>
          <w:tcPr/>
          <w:p>
            <w:pPr>
              <w:pStyle w:val="Compact"/>
            </w:pPr>
            <w:r>
              <w:t xml:space="preserve">OR (pre-milestone vol per SD)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≥1 senior-age (20+) result</w:t>
            </w:r>
          </w:p>
        </w:tc>
        <w:tc>
          <w:tcPr/>
          <w:p>
            <w:pPr>
              <w:pStyle w:val="Compact"/>
            </w:pPr>
            <w:r>
              <w:t xml:space="preserve">411 (19.4%)</w:t>
            </w:r>
          </w:p>
        </w:tc>
        <w:tc>
          <w:tcPr/>
          <w:p>
            <w:pPr>
              <w:pStyle w:val="Compact"/>
            </w:pPr>
            <w:r>
              <w:t xml:space="preserve">2.79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≥2 results in any senior-age year (primary)</w:t>
            </w:r>
          </w:p>
        </w:tc>
        <w:tc>
          <w:tcPr/>
          <w:p>
            <w:pPr>
              <w:pStyle w:val="Compact"/>
            </w:pPr>
            <w:r>
              <w:t xml:space="preserve">348 (16.4%)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≥2 results in each of two distinct senior-age years</w:t>
            </w:r>
          </w:p>
        </w:tc>
        <w:tc>
          <w:tcPr/>
          <w:p>
            <w:pPr>
              <w:pStyle w:val="Compact"/>
            </w:pPr>
            <w:r>
              <w:t xml:space="preserve">254 (12.0%)</w:t>
            </w:r>
          </w:p>
        </w:tc>
        <w:tc>
          <w:tcPr/>
          <w:p>
            <w:pPr>
              <w:pStyle w:val="Compact"/>
            </w:pPr>
            <w:r>
              <w:t xml:space="preserve">2.94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</w:tbl>
    <w:bookmarkEnd w:id="25"/>
    <w:bookmarkStart w:id="26" w:name="X71b7ac0ea8770779ec02beb7f61ea69e8774bd0"/>
    <w:p>
      <w:pPr>
        <w:pStyle w:val="Heading2"/>
      </w:pPr>
      <w:r>
        <w:t xml:space="preserve">Table S10. Lagged volume — pre-milestone (ages 13–14) alone (Cox)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[1.04, 1.27]</w:t>
            </w:r>
          </w:p>
        </w:tc>
        <w:tc>
          <w:tcPr/>
          <w:p>
            <w:pPr>
              <w:pStyle w:val="Compact"/>
            </w:pPr>
            <w:r>
              <w:t xml:space="preserve">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[0.95, 1.05]</w:t>
            </w:r>
          </w:p>
        </w:tc>
        <w:tc>
          <w:tcPr/>
          <w:p>
            <w:pPr>
              <w:pStyle w:val="Compact"/>
            </w:pPr>
            <w:r>
              <w:t xml:space="preserve">.833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[0.76, 0.85]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(z, ages 13–14)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[0.46, 0.53]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n = 1,704; C-index = 0.743.</w:t>
      </w:r>
    </w:p>
    <w:bookmarkEnd w:id="26"/>
    <w:bookmarkStart w:id="27" w:name="Xa64f954e491e5500a083feee6b6748a4b5f6096"/>
    <w:p>
      <w:pPr>
        <w:pStyle w:val="Heading2"/>
      </w:pPr>
      <w:r>
        <w:t xml:space="preserve">Table S11. Sensitivity excluding zero-volume athletes (post-baseline Cox)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1.20</w:t>
            </w:r>
          </w:p>
        </w:tc>
        <w:tc>
          <w:tcPr/>
          <w:p>
            <w:pPr>
              <w:pStyle w:val="Compact"/>
            </w:pPr>
            <w:r>
              <w:t xml:space="preserve">[1.07, 1.36]</w:t>
            </w:r>
          </w:p>
        </w:tc>
        <w:tc>
          <w:tcPr/>
          <w:p>
            <w:pPr>
              <w:pStyle w:val="Compact"/>
            </w:pPr>
            <w:r>
              <w:t xml:space="preserve">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[0.98, 1.10]</w:t>
            </w:r>
          </w:p>
        </w:tc>
        <w:tc>
          <w:tcPr/>
          <w:p>
            <w:pPr>
              <w:pStyle w:val="Compact"/>
            </w:pPr>
            <w:r>
              <w:t xml:space="preserve">.211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[0.90, 1.02]</w:t>
            </w:r>
          </w:p>
        </w:tc>
        <w:tc>
          <w:tcPr/>
          <w:p>
            <w:pPr>
              <w:pStyle w:val="Compact"/>
            </w:pPr>
            <w:r>
              <w:t xml:space="preserve">.200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[0.46, 0.56]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[0.73, 0.87]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Excludes 589 athletes with vol_milestone = 0; remaining n = 1,250; C-index = 0.786.</w:t>
      </w:r>
    </w:p>
    <w:bookmarkEnd w:id="27"/>
    <w:bookmarkStart w:id="28" w:name="X1474e7478f5250bc01001f6d135024a6236a269"/>
    <w:p>
      <w:pPr>
        <w:pStyle w:val="Heading2"/>
      </w:pPr>
      <w:r>
        <w:t xml:space="preserve">Table S12. Random forest variable importance (top 15) for senior retention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Volume at age 16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Composite volume at milestone (ages 15–16)</w:t>
            </w:r>
          </w:p>
        </w:tc>
        <w:tc>
          <w:tcPr/>
          <w:p>
            <w:pPr>
              <w:pStyle w:val="Compact"/>
            </w:pPr>
            <w:r>
              <w:t xml:space="preserve">0.126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Volume at age 15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Tyrving performance slope (ages 13–16)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Volume trend across milestone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Peak Tyrving before age 15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HHI change (age 13–14 to 15–16)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Mean meets per year early career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Tyrving best at baseline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HHI early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Volume pre-milestone (ages 13–14)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Year-round participation sum (ages 13–16)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Volume at age 14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Number of championship types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HHI at age 15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</w:tr>
    </w:tbl>
    <w:bookmarkEnd w:id="28"/>
    <w:bookmarkStart w:id="29" w:name="X222e4e7683d0a0d9c9b236b6a358e65d6328bfb"/>
    <w:p>
      <w:pPr>
        <w:pStyle w:val="Heading2"/>
      </w:pPr>
      <w:r>
        <w:t xml:space="preserve">Table S13. Primary logistic regression with structural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[0.45, 0.79]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[0.96, 1.31]</w:t>
            </w:r>
          </w:p>
        </w:tc>
        <w:tc>
          <w:tcPr/>
          <w:p>
            <w:pPr>
              <w:pStyle w:val="Compact"/>
            </w:pPr>
            <w:r>
              <w:t xml:space="preserve">.138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</w:p>
        </w:tc>
        <w:tc>
          <w:tcPr/>
          <w:p>
            <w:pPr>
              <w:pStyle w:val="Compact"/>
            </w:pPr>
            <w:r>
              <w:t xml:space="preserve">[1.16, 1.56]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[2.08, 2.78]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born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[0.59, 1.11]</w:t>
            </w:r>
          </w:p>
        </w:tc>
        <w:tc>
          <w:tcPr/>
          <w:p>
            <w:pPr>
              <w:pStyle w:val="Compact"/>
            </w:pPr>
            <w:r>
              <w:t xml:space="preserve">.188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 born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[0.62, 1.40]</w:t>
            </w:r>
          </w:p>
        </w:tc>
        <w:tc>
          <w:tcPr/>
          <w:p>
            <w:pPr>
              <w:pStyle w:val="Compact"/>
            </w:pPr>
            <w:r>
              <w:t xml:space="preserve">.740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Region: Østlandet</w:t>
            </w:r>
          </w:p>
        </w:tc>
        <w:tc>
          <w:tcPr/>
          <w:p>
            <w:pPr>
              <w:pStyle w:val="Compact"/>
            </w:pPr>
            <w:r>
              <w:t xml:space="preserve">1.27</w:t>
            </w:r>
          </w:p>
        </w:tc>
        <w:tc>
          <w:tcPr/>
          <w:p>
            <w:pPr>
              <w:pStyle w:val="Compact"/>
            </w:pPr>
            <w:r>
              <w:t xml:space="preserve">[0.92, 1.77]</w:t>
            </w:r>
          </w:p>
        </w:tc>
        <w:tc>
          <w:tcPr/>
          <w:p>
            <w:pPr>
              <w:pStyle w:val="Compact"/>
            </w:pPr>
            <w:r>
              <w:t xml:space="preserve">.149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Region: Midt-Norge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[0.74, 1.64]</w:t>
            </w:r>
          </w:p>
        </w:tc>
        <w:tc>
          <w:tcPr/>
          <w:p>
            <w:pPr>
              <w:pStyle w:val="Compact"/>
            </w:pPr>
            <w:r>
              <w:t xml:space="preserve">.626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Club size (z)</w:t>
            </w:r>
          </w:p>
        </w:tc>
        <w:tc>
          <w:tcPr/>
          <w:p>
            <w:pPr>
              <w:pStyle w:val="Compact"/>
            </w:pPr>
            <w:r>
              <w:t xml:space="preserve">1.03</w:t>
            </w:r>
          </w:p>
        </w:tc>
        <w:tc>
          <w:tcPr/>
          <w:p>
            <w:pPr>
              <w:pStyle w:val="Compact"/>
            </w:pPr>
            <w:r>
              <w:t xml:space="preserve">[0.90, 1.18]</w:t>
            </w:r>
          </w:p>
        </w:tc>
        <w:tc>
          <w:tcPr/>
          <w:p>
            <w:pPr>
              <w:pStyle w:val="Compact"/>
            </w:pPr>
            <w:r>
              <w:t xml:space="preserve">.681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n = 1,704; CV-AUC = 0.740. Pre-milestone volume effect is unchanged: OR 2.40 with controls vs. 2.40 without (≤ 1% change). All structural controls non-significant.</w:t>
      </w:r>
    </w:p>
    <w:bookmarkEnd w:id="29"/>
    <w:bookmarkStart w:id="30" w:name="Xf23602cc24059e75e7e43c07196e98f5ede4bcb"/>
    <w:p>
      <w:pPr>
        <w:pStyle w:val="Heading2"/>
      </w:pPr>
      <w:r>
        <w:t xml:space="preserve">Table S14. Pull-back analysis details (logistic regression in athletes still active at age 14, n = 1,914)</w:t>
      </w:r>
    </w:p>
    <w:p>
      <w:pPr>
        <w:pStyle w:val="FirstParagraph"/>
      </w:pPr>
      <w:r>
        <w:t xml:space="preserve">(Same content as Table 4 above with full coefficient detail; provided as supplementary for completeness.)</w:t>
      </w:r>
    </w:p>
    <w:bookmarkEnd w:id="30"/>
    <w:bookmarkStart w:id="31" w:name="X14a187cccba8ab8acd9d39950cd3e8c5b715a82"/>
    <w:p>
      <w:pPr>
        <w:pStyle w:val="Heading2"/>
      </w:pPr>
      <w:r>
        <w:t xml:space="preserve">Table S15. Time-aligned behavior versus performance (5-fold CV-AUC)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 set (all ages 13–14 measurements)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CV-AUC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 + baseline Tyrving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0.607 (±0.014)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 + pre-milestone volume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0.740 (±0.024)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 + Tyrving + pre-milestone volume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0.737 (±0.021)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Even in a fully time-aligned comparison (both predictors observed during the baseline window of ages 13–14), behavior substantially out-predicts performance.</w:t>
      </w:r>
    </w:p>
    <w:bookmarkEnd w:id="31"/>
    <w:bookmarkStart w:id="32" w:name="X17e9a4b8e4f294fe106d952e9382005d4b3183b"/>
    <w:p>
      <w:pPr>
        <w:pStyle w:val="Heading2"/>
      </w:pPr>
      <w:r>
        <w:t xml:space="preserve">Table S16. Cox time-to-cessation with structural controls (baseline-only predictors)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1.16</w:t>
            </w:r>
          </w:p>
        </w:tc>
        <w:tc>
          <w:tcPr/>
          <w:p>
            <w:pPr>
              <w:pStyle w:val="Compact"/>
            </w:pPr>
            <w:r>
              <w:t xml:space="preserve">[1.04, 1.28]</w:t>
            </w:r>
          </w:p>
        </w:tc>
        <w:tc>
          <w:tcPr/>
          <w:p>
            <w:pPr>
              <w:pStyle w:val="Compact"/>
            </w:pPr>
            <w:r>
              <w:t xml:space="preserve">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[0.94, 1.04]</w:t>
            </w:r>
          </w:p>
        </w:tc>
        <w:tc>
          <w:tcPr/>
          <w:p>
            <w:pPr>
              <w:pStyle w:val="Compact"/>
            </w:pPr>
            <w:r>
              <w:t xml:space="preserve">.749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[0.76, 0.85]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[0.46, 0.53]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born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[0.90, 1.13]</w:t>
            </w:r>
          </w:p>
        </w:tc>
        <w:tc>
          <w:tcPr/>
          <w:p>
            <w:pPr>
              <w:pStyle w:val="Compact"/>
            </w:pPr>
            <w:r>
              <w:t xml:space="preserve">.913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 born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[0.76, 1.01]</w:t>
            </w:r>
          </w:p>
        </w:tc>
        <w:tc>
          <w:tcPr/>
          <w:p>
            <w:pPr>
              <w:pStyle w:val="Compact"/>
            </w:pPr>
            <w:r>
              <w:t xml:space="preserve">.074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Region: Østlandet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[0.82, 1.05]</w:t>
            </w:r>
          </w:p>
        </w:tc>
        <w:tc>
          <w:tcPr/>
          <w:p>
            <w:pPr>
              <w:pStyle w:val="Compact"/>
            </w:pPr>
            <w:r>
              <w:t xml:space="preserve">.219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Region: Midt-Norge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[0.89, 1.16]</w:t>
            </w:r>
          </w:p>
        </w:tc>
        <w:tc>
          <w:tcPr/>
          <w:p>
            <w:pPr>
              <w:pStyle w:val="Compact"/>
            </w:pPr>
            <w:r>
              <w:t xml:space="preserve">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Club size (z)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[0.97, 1.07]</w:t>
            </w:r>
          </w:p>
        </w:tc>
        <w:tc>
          <w:tcPr/>
          <w:p>
            <w:pPr>
              <w:pStyle w:val="Compact"/>
            </w:pPr>
            <w:r>
              <w:t xml:space="preserve">.517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n = 1,704; C-index = 0.742. Higher HHI (specialization) associated with lower dropout hazard.</w:t>
      </w:r>
    </w:p>
    <w:bookmarkEnd w:id="32"/>
    <w:bookmarkStart w:id="33" w:name="Xf13287c4a9ad644959b75465c58f32083ba4e76"/>
    <w:p>
      <w:pPr>
        <w:pStyle w:val="Heading2"/>
      </w:pPr>
      <w:r>
        <w:t xml:space="preserve">Table S17. Cross-validated AUC for nested predictor subsets predicting senior retention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 set</w:t>
            </w:r>
          </w:p>
        </w:tc>
        <w:tc>
          <w:tcPr/>
          <w:p>
            <w:pPr>
              <w:pStyle w:val="Compact"/>
            </w:pPr>
            <w:r>
              <w:t xml:space="preserve">n features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AUC (logistic)</w:t>
            </w:r>
          </w:p>
        </w:tc>
        <w:tc>
          <w:tcPr/>
          <w:p>
            <w:pPr>
              <w:pStyle w:val="Compact"/>
            </w:pPr>
            <w:r>
              <w:t xml:space="preserve">AUC (random forest)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only (sex + Tyrving best)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0.59 (±0.04)</w:t>
            </w:r>
          </w:p>
        </w:tc>
        <w:tc>
          <w:tcPr/>
          <w:p>
            <w:pPr>
              <w:pStyle w:val="Compact"/>
            </w:pPr>
            <w:r>
              <w:t xml:space="preserve">0.58 (±0.02)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Specialization only (sex + HHI + n categories)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0.60 (±0.06)</w:t>
            </w:r>
          </w:p>
        </w:tc>
        <w:tc>
          <w:tcPr/>
          <w:p>
            <w:pPr>
              <w:pStyle w:val="Compact"/>
            </w:pPr>
            <w:r>
              <w:t xml:space="preserve">0.57 (±0.05)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only (sex + meets ages 13–16)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0.82 (±0.03)</w:t>
            </w:r>
          </w:p>
        </w:tc>
        <w:tc>
          <w:tcPr/>
          <w:p>
            <w:pPr>
              <w:pStyle w:val="Compact"/>
            </w:pPr>
            <w:r>
              <w:t xml:space="preserve">0.80 (±0.03)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+ specialization (pre-baseline behavioral)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0.82 (±0.03)</w:t>
            </w:r>
          </w:p>
        </w:tc>
        <w:tc>
          <w:tcPr/>
          <w:p>
            <w:pPr>
              <w:pStyle w:val="Compact"/>
            </w:pPr>
            <w:r>
              <w:t xml:space="preserve">0.80 (±0.03)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model (all 22 predictors)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0.81 (±0.03)</w:t>
            </w:r>
          </w:p>
        </w:tc>
        <w:tc>
          <w:tcPr/>
          <w:p>
            <w:pPr>
              <w:pStyle w:val="Compact"/>
            </w:pPr>
            <w:r>
              <w:t xml:space="preserve">0.82 (±0.03)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This table includes post-baseline behavioral predictors (ages 15–16) and therefore overlaps with the early portion of the at-risk window; AUCs are descriptive rather than ordinary prospective prediction quantities.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2026-05-18T14:32:38Z</dcterms:created>
  <dcterms:modified xsi:type="dcterms:W3CDTF">2026-05-18T14:32:38Z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