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w:t>
      </w:r>
      <w:r>
        <w:t xml:space="preserve"> </w:t>
      </w:r>
      <w:r>
        <w:rPr>
          <w:rStyle w:val="Revised"/>
        </w:rPr>
        <w:t xml:space="preserve">at the baseline meet (which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r>
        <w:rPr>
          <w:rStyle w:val="Revised"/>
        </w:rPr>
        <w:t xml:space="preserve">; among athletes still competing at 14, volume at 14 gave a similar estimate (OR = 2.05 per SD; Table 4, M1)</w:t>
      </w:r>
      <w:r>
        <w:t xml:space="preserve">.</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model was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2.07, 2.04 [1.75, 2.39] and 2.03; Supplementary Table S22)</w:t>
      </w:r>
      <w:r>
        <w:rPr>
          <w:rStyle w:val="Revised"/>
        </w:rPr>
        <w:t xml:space="preserve">, and folds grouped by club gave the same cross-validated AUC (0.766; Supplementary Table S26)</w:t>
      </w:r>
      <w:r>
        <w:t xml:space="preserve">: the association holds</w:t>
      </w:r>
      <w:r>
        <w:t xml:space="preserve"> </w:t>
      </w:r>
      <w:r>
        <w:rPr>
          <w:rStyle w:val="Revised"/>
        </w:rPr>
        <w:t xml:space="preserve">after accounting for club membership 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 both predict retention</w:t>
      </w:r>
      <w:r>
        <w:rPr>
          <w:b/>
          <w:bCs/>
        </w:rPr>
        <w:t xml:space="preserve">.</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w:t>
      </w:r>
      <w:r>
        <w:t xml:space="preserve"> </w:t>
      </w:r>
      <w:r>
        <w:rPr>
          <w:rStyle w:val="Revised"/>
        </w:rPr>
        <w:t xml:space="preserve">both predicted retention</w:t>
      </w:r>
      <w:r>
        <w:t xml:space="preserve"> </w:t>
      </w:r>
      <w:r>
        <w:t xml:space="preserve">(both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r>
        <w:t xml:space="preserve"> </w:t>
      </w:r>
      <w:r>
        <w:rPr>
          <w:rStyle w:val="Revised"/>
        </w:rPr>
        <w:t xml:space="preserve">Equivalently, volume at 14 added little once volume at 15 was known (OR = 0.98 per meet, 95% CI 0.95–1.00,</w:t>
      </w:r>
      <w:r>
        <w:rPr>
          <w:rStyle w:val="Revised"/>
        </w:rPr>
        <w:t xml:space="preserve"> </w:t>
      </w:r>
      <w:r>
        <w:rPr>
          <w:rStyle w:val="Revised"/>
          <w:i/>
          <w:iCs/>
        </w:rPr>
        <w:t xml:space="preserve">p</w:t>
      </w:r>
      <w:r>
        <w:rPr>
          <w:rStyle w:val="Revised"/>
        </w:rPr>
        <w:t xml:space="preserve"> </w:t>
      </w:r>
      <w:r>
        <w:rPr>
          <w:rStyle w:val="Revised"/>
        </w:rPr>
        <w:t xml:space="preserve">= .06; Table 4 note).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among athletes still competing at age 16 (≥2 results; n =</w:t>
      </w:r>
      <w:r>
        <w:t xml:space="preserve"> </w:t>
      </w:r>
      <w:r>
        <w:rPr>
          <w:rStyle w:val="Revised"/>
        </w:rPr>
        <w:t xml:space="preserve">1,088, of whom 269 had their final active season at 16</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baseline-window-behavior-vs.-performance"/>
    <w:p>
      <w:pPr>
        <w:pStyle w:val="Heading2"/>
      </w:pPr>
      <w:r>
        <w:t xml:space="preserve">3.6</w:t>
      </w:r>
      <w:r>
        <w:t xml:space="preserve"> </w:t>
      </w:r>
      <w:r>
        <w:rPr>
          <w:rStyle w:val="Revised"/>
        </w:rPr>
        <w:t xml:space="preserve">Baseline-window</w:t>
      </w:r>
      <w:r>
        <w:t xml:space="preserve"> </w:t>
      </w:r>
      <w:r>
        <w:t xml:space="preserve">behavior vs. performance</w:t>
      </w:r>
    </w:p>
    <w:p>
      <w:pPr>
        <w:pStyle w:val="FirstParagraph"/>
      </w:pPr>
      <w:r>
        <w:rPr>
          <w:rStyle w:val="Revised"/>
        </w:rP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0.71</w:t>
      </w:r>
      <w:r>
        <w:t xml:space="preserve"> </w:t>
      </w:r>
      <w:r>
        <w:t xml:space="preserve">per SD, 95% CI</w:t>
      </w:r>
      <w:r>
        <w:t xml:space="preserve"> </w:t>
      </w:r>
      <w:r>
        <w:rPr>
          <w:rStyle w:val="Revised"/>
        </w:rPr>
        <w:t xml:space="preserve">[0.65, 0.78]</w:t>
      </w:r>
      <w:r>
        <w:t xml:space="preserve">, C-index =</w:t>
      </w:r>
      <w:r>
        <w:t xml:space="preserve"> </w:t>
      </w:r>
      <w:r>
        <w:rPr>
          <w:rStyle w:val="Revised"/>
        </w:rPr>
        <w:t xml:space="preserve">0.696</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the baseline-only Cox models, which include volume, agree: HR = 0.91 per SD, Supplementary Tables S10, S16), more clearly in Cohort B (1.32 [1.10, 1.60]) than in Cohort A (1.07 [0.90, 1.28]; cohort difference</w:t>
      </w:r>
      <w:r>
        <w:rPr>
          <w:rStyle w:val="Revised"/>
        </w:rPr>
        <w:t xml:space="preserve"> </w:t>
      </w:r>
      <w:r>
        <w:rPr>
          <w:rStyle w:val="Revised"/>
          <w:i/>
          <w:iCs/>
        </w:rPr>
        <w:t xml:space="preserve">p</w:t>
      </w:r>
      <w:r>
        <w:rPr>
          <w:rStyle w:val="Revised"/>
        </w:rPr>
        <w:t xml:space="preserve"> </w:t>
      </w:r>
      <w:r>
        <w:rPr>
          <w:rStyle w:val="Revised"/>
        </w:rPr>
        <w:t xml:space="preserve">= .11),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at the baseline meet,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w:t>
      </w:r>
      <w:r>
        <w:t xml:space="preserve"> </w:t>
      </w:r>
      <w:r>
        <w:rPr>
          <w:rStyle w:val="Revised"/>
        </w:rPr>
        <w:t xml:space="preserve">had</w:t>
      </w:r>
      <w:r>
        <w:t xml:space="preserve"> </w:t>
      </w:r>
      <w:r>
        <w:t xml:space="preserve">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Dropouts’ participation typically declined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w:t>
      </w:r>
      <w:r>
        <w:t xml:space="preserve"> </w:t>
      </w:r>
      <w:r>
        <w:rPr>
          <w:rStyle w:val="Revised"/>
        </w:rPr>
        <w:t xml:space="preserve">over two seasons</w:t>
      </w:r>
      <w:r>
        <w:t xml:space="preserve"> </w:t>
      </w:r>
      <w:r>
        <w:t xml:space="preserve">while Tyrving is a scored maximum</w:t>
      </w:r>
      <w:r>
        <w:t xml:space="preserve"> </w:t>
      </w:r>
      <w:r>
        <w:rPr>
          <w:rStyle w:val="Revised"/>
        </w:rPr>
        <w:t xml:space="preserve">from a single meet, with norms that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w:t>
      </w:r>
      <w:r>
        <w:t xml:space="preserve"> </w:t>
      </w:r>
      <w:r>
        <w:rPr>
          <w:rStyle w:val="Revised"/>
        </w:rPr>
        <w:t xml:space="preserve">early level and later change both predicted retention, also among athletes still active at 16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Kaplan–Meier curves</w:t>
      </w:r>
      <w:r>
        <w:t xml:space="preserve"> </w:t>
      </w:r>
      <w:r>
        <w:rPr>
          <w:rStyle w:val="Revised"/>
        </w:rPr>
        <w:t xml:space="preserve">of time to the last active season</w:t>
      </w:r>
      <w:r>
        <w:t xml:space="preserve"> </w:t>
      </w:r>
      <w:r>
        <w:t xml:space="preserve">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but</w:t>
      </w:r>
      <w:r>
        <w:t xml:space="preserve"> </w:t>
      </w:r>
      <w:r>
        <w:t xml:space="preserve">females retained</w:t>
      </w:r>
      <w:r>
        <w:t xml:space="preserve"> </w:t>
      </w:r>
      <w:r>
        <w:rPr>
          <w:rStyle w:val="Revised"/>
        </w:rPr>
        <w:t xml:space="preserve">senior status</w:t>
      </w:r>
      <w:r>
        <w:t xml:space="preserve"> </w:t>
      </w:r>
      <w:r>
        <w:t xml:space="preserve">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w:t>
      </w:r>
      <w:r>
        <w:t xml:space="preserve"> </w:t>
      </w:r>
      <w:r>
        <w:rPr>
          <w:rStyle w:val="Revised"/>
        </w:rPr>
        <w:t xml:space="preserve">volume association</w:t>
      </w:r>
      <w:r>
        <w:t xml:space="preserve"> </w:t>
      </w:r>
      <w:r>
        <w:t xml:space="preserve">itself was similar across sexes (milestone-window volume HR =</w:t>
      </w:r>
      <w:r>
        <w:t xml:space="preserve"> </w:t>
      </w:r>
      <w:r>
        <w:rPr>
          <w:rStyle w:val="Revised"/>
        </w:rPr>
        <w:t xml:space="preserve">0.48</w:t>
      </w:r>
      <w:r>
        <w:t xml:space="preserve"> </w:t>
      </w:r>
      <w:r>
        <w:t xml:space="preserve">for</w:t>
      </w:r>
      <w:r>
        <w:t xml:space="preserve"> </w:t>
      </w:r>
      <w:r>
        <w:rPr>
          <w:rStyle w:val="Revised"/>
        </w:rPr>
        <w:t xml:space="preserve">both</w:t>
      </w:r>
      <w:r>
        <w:t xml:space="preserve"> </w:t>
      </w:r>
      <w:r>
        <w:t xml:space="preserve">males and females; Supplementary Table S7), so the residual sex</w:t>
      </w:r>
      <w:r>
        <w:t xml:space="preserve"> </w:t>
      </w:r>
      <w:r>
        <w:rPr>
          <w:rStyle w:val="Revised"/>
        </w:rPr>
        <w:t xml:space="preserve">difference lies in the level of retention, not in how volume relates to it</w:t>
      </w:r>
      <w:r>
        <w:t xml:space="preserve">.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w:t>
      </w:r>
      <w:r>
        <w:t xml:space="preserve"> </w:t>
      </w:r>
      <w:r>
        <w:rPr>
          <w:rStyle w:val="Revised"/>
        </w:rPr>
        <w:t xml:space="preserve">has competed (cohort entry guarantees a baseline meet), though 29% had no result at 14,</w:t>
      </w:r>
      <w:r>
        <w:t xml:space="preserve"> </w:t>
      </w:r>
      <w:r>
        <w:t xml:space="preserve">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rPr>
          <w:rStyle w:val="Revised"/>
        </w:rPr>
        <w:t xml:space="preserve">A decline shows as lower later volume (Section 3.5): screen at the end of age 14 and again at the end of age 15,</w:t>
      </w:r>
      <w:r>
        <w:t xml:space="preserve"> </w:t>
      </w:r>
      <w:r>
        <w:t xml:space="preserve">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263.1</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w:t>
      </w:r>
      <w:r>
        <w:t xml:space="preserve"> </w:t>
      </w:r>
      <w:r>
        <w:rPr>
          <w:rStyle w:val="Revised"/>
        </w:rPr>
        <w:t xml:space="preserve">(&lt; 10 meets at ages 13–14)</w:t>
      </w:r>
      <w:r>
        <w:t xml:space="preserve">,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 both carry information,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w:t>
      </w:r>
      <w:r>
        <w:t xml:space="preserve"> </w:t>
      </w:r>
      <w:r>
        <w:t xml:space="preserve">level</w:t>
      </w:r>
      <w:r>
        <w:t xml:space="preserve"> </w:t>
      </w:r>
      <w:r>
        <w:rPr>
          <w:rStyle w:val="Revised"/>
        </w:rPr>
        <w:t xml:space="preserve">form, volume at 14 added little once volume at 15 was known (OR = 0.98 per meet [0.95, 1.00], p = .056): the information lies mainly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rPr>
                <w:rStyle w:val="Revised"/>
              </w:rPr>
              <w:t xml:space="preserve">0.14 [0.12, 0.17]</w:t>
            </w:r>
          </w:p>
        </w:tc>
        <w:tc>
          <w:tcPr/>
          <w:p>
            <w:pPr>
              <w:pStyle w:val="Compact"/>
            </w:pPr>
            <w:r>
              <w:rPr>
                <w:rStyle w:val="Revised"/>
              </w:rPr>
              <w:t xml:space="preserve">0.74 [0.65, 0.84]</w:t>
            </w:r>
          </w:p>
        </w:tc>
        <w:tc>
          <w:tcPr/>
          <w:p>
            <w:pPr>
              <w:pStyle w:val="Compact"/>
            </w:pPr>
            <w:r>
              <w:rPr>
                <w:rStyle w:val="Revised"/>
              </w:rPr>
              <w:t xml:space="preserve">0.99 [0.83, 1.20]</w:t>
            </w:r>
          </w:p>
        </w:tc>
      </w:tr>
      <w:tr>
        <w:tc>
          <w:tcPr/>
          <w:p>
            <w:pPr>
              <w:pStyle w:val="Compact"/>
            </w:pPr>
            <w:r>
              <w:t xml:space="preserve">Championship types (count)</w:t>
            </w:r>
          </w:p>
        </w:tc>
        <w:tc>
          <w:tcPr/>
          <w:p>
            <w:pPr>
              <w:pStyle w:val="Compact"/>
            </w:pPr>
            <w:r>
              <w:rPr>
                <w:rStyle w:val="Revised"/>
              </w:rPr>
              <w:t xml:space="preserve">0.77 [0.70, 0.84]</w:t>
            </w:r>
          </w:p>
        </w:tc>
        <w:tc>
          <w:tcPr/>
          <w:p>
            <w:pPr>
              <w:pStyle w:val="Compact"/>
            </w:pPr>
            <w:r>
              <w:rPr>
                <w:rStyle w:val="Revised"/>
              </w:rPr>
              <w:t xml:space="preserve">0.85 [0.74, 0.97]</w:t>
            </w:r>
          </w:p>
        </w:tc>
        <w:tc>
          <w:tcPr/>
          <w:p>
            <w:pPr>
              <w:pStyle w:val="Compact"/>
            </w:pPr>
            <w:r>
              <w:rPr>
                <w:rStyle w:val="Revised"/>
              </w:rPr>
              <w:t xml:space="preserve">0.69 [0.55, 0.87]</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0.86 [0.77, 0.96]</w:t>
            </w:r>
          </w:p>
        </w:tc>
        <w:tc>
          <w:tcPr/>
          <w:p>
            <w:pPr>
              <w:pStyle w:val="Compact"/>
            </w:pPr>
            <w:r>
              <w:rPr>
                <w:rStyle w:val="Revised"/>
              </w:rPr>
              <w:t xml:space="preserve">1.08 [0.88, 1.31]</w:t>
            </w:r>
          </w:p>
        </w:tc>
      </w:tr>
      <w:tr>
        <w:tc>
          <w:tcPr/>
          <w:p>
            <w:pPr>
              <w:pStyle w:val="Compact"/>
            </w:pPr>
            <w:r>
              <w:rPr>
                <w:rStyle w:val="Revised"/>
              </w:rPr>
              <w:t xml:space="preserve">HHI, ages 13–14 (z)</w:t>
            </w:r>
          </w:p>
        </w:tc>
        <w:tc>
          <w:tcPr/>
          <w:p>
            <w:pPr>
              <w:pStyle w:val="Compact"/>
            </w:pPr>
            <w:r>
              <w:rPr>
                <w:rStyle w:val="Revised"/>
              </w:rPr>
              <w:t xml:space="preserve">1.02 [0.97, 1.08]</w:t>
            </w:r>
          </w:p>
        </w:tc>
        <w:tc>
          <w:tcPr/>
          <w:p>
            <w:pPr>
              <w:pStyle w:val="Compact"/>
            </w:pPr>
            <w:r>
              <w:rPr>
                <w:rStyle w:val="Revised"/>
              </w:rPr>
              <w:t xml:space="preserve">0.90 [0.82, 0.99]</w:t>
            </w:r>
          </w:p>
        </w:tc>
        <w:tc>
          <w:tcPr/>
          <w:p>
            <w:pPr>
              <w:pStyle w:val="Compact"/>
            </w:pPr>
            <w:r>
              <w:rPr>
                <w:rStyle w:val="Revised"/>
              </w:rPr>
              <w:t xml:space="preserve">0.99 [0.85, 1.14]</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1.49 [1.24, 1.80]</w:t>
            </w:r>
          </w:p>
        </w:tc>
        <w:tc>
          <w:tcPr/>
          <w:p>
            <w:pPr>
              <w:pStyle w:val="Compact"/>
            </w:pPr>
            <w:r>
              <w:rPr>
                <w:rStyle w:val="Revised"/>
              </w:rPr>
              <w:t xml:space="preserve">1.05 [0.77, 1.43]</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0.664</w:t>
            </w:r>
          </w:p>
        </w:tc>
        <w:tc>
          <w:tcPr/>
          <w:p>
            <w:pPr>
              <w:pStyle w:val="Compact"/>
            </w:pPr>
            <w:r>
              <w:rPr>
                <w:rStyle w:val="Revised"/>
              </w:rPr>
              <w:t xml:space="preserve">0.595</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were still active at the end of its curve (11 years) and 0.8% reached active senior status.</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2026-10-03T17:30:14Z</dcterms:created>
  <dcterms:modified xsi:type="dcterms:W3CDTF">2026-10-03T17:30:14Z</dcterms:modified>
</cp:coreProperties>
</file>

<file path=docProps/custom.xml><?xml version="1.0" encoding="utf-8"?>
<Properties xmlns="http://schemas.openxmlformats.org/officeDocument/2006/custom-properties" xmlns:vt="http://schemas.openxmlformats.org/officeDocument/2006/docPropsVTypes"/>
</file>