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 Declining competition participation 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2,123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dominant predictor (OR = 2.25 per SD, 95% CI [1.99, 2.55]; cross-validated AUC = 0.746; calibration slope 0.98), discriminated retention better than age-normed performance measured in the same window, was robust to structural controls, club random effects, and club-grouped validation, and was reproduced in two adjacent birth cohorts (an internal replication). Competition participation declined within athletes before exit: relative to their own earlier seasons, dropouts competed 12% less two seasons and 24% less one season before their final season, and among athletes still active at 16, declining volume across ages 15–16 predicted lower senior retention (OR = 0.53 per SD of decline). Higher within-sport event concentration was modestly associated with higher retention. A register-based candidate flag at the end of the age-14 season (&lt; 10 meets) identifies the 26% of athletes whose senior retention is 6%, versus 20% among the unflagged (similar when derived in one birth cohort and applied to the other):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broad-participation cohort studied here, fewer than half of those competing at ages 13–14 were still competing at 17 (Section 3).</w:t>
      </w:r>
    </w:p>
    <w:p>
      <w:pPr>
        <w:pStyle w:val="BodyText"/>
      </w:pPr>
      <w:r>
        <w:t xml:space="preserve">Terminology in this literature is often ambiguous, so we fix ours at the outset. 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with existing methods.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The most developed account of this process view comes from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Survey evidence from Norwegian youth complements this picture: stated reasons for leaving organized sport are diverse and patterned by social background, with sport expenses cited more often by minority youth from less-resourced families.</w:t>
      </w:r>
      <w:r>
        <w:rPr>
          <w:vertAlign w:val="superscript"/>
        </w:rPr>
        <w:t xml:space="preserve">10</w:t>
      </w:r>
    </w:p>
    <w:p>
      <w:pPr>
        <w:pStyle w:val="BodyText"/>
      </w:pPr>
      <w:r>
        <w:t xml:space="preserve">Groups of athletes also appear to differ in how they respond when competitive demands increase. Norwegian participation research documents strong variation in involvement: training investment varies widely,</w:t>
      </w:r>
      <w:r>
        <w:rPr>
          <w:vertAlign w:val="superscript"/>
        </w:rPr>
        <w:t xml:space="preserve">11</w:t>
      </w:r>
      <w:r>
        <w:t xml:space="preserve"> </w:t>
      </w:r>
      <w:r>
        <w:t xml:space="preserve">and a significant minority hold</w:t>
      </w:r>
      <w:r>
        <w:t xml:space="preserve"> </w:t>
      </w:r>
      <w:r>
        <w:t xml:space="preserve">“heavy”</w:t>
      </w:r>
      <w:r>
        <w:t xml:space="preserve"> </w:t>
      </w:r>
      <w:r>
        <w:t xml:space="preserve">involvement motives (intense love of the game or career pursuits), while the larger group appreciate</w:t>
      </w:r>
      <w:r>
        <w:t xml:space="preserve"> </w:t>
      </w:r>
      <w:r>
        <w:t xml:space="preserve">“lighter”</w:t>
      </w:r>
      <w:r>
        <w:t xml:space="preserve"> </w:t>
      </w:r>
      <w:r>
        <w:t xml:space="preserve">involvement built on fun, exercise, and belonging, quitting 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t xml:space="preserve"> </w:t>
      </w:r>
      <w:r>
        <w:t xml:space="preserve">Consistent with the idea that such differences leave behavioral traces well before exit, retrospective comparisons of developmental activities show that youth ice-hockey players who later dropped out already differed from persisting peers in their earlier training patterns, for example taking up intense sport-specific off-ice training at younger ages.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2,123 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that we test separately: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 discriminate 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 be</w:t>
      </w:r>
      <w:r>
        <w:t xml:space="preserve"> </w:t>
      </w:r>
      <w:r>
        <w:rPr>
          <w:i/>
          <w:iCs/>
        </w:rPr>
        <w:t xml:space="preserve">reproduced</w:t>
      </w:r>
      <w:r>
        <w:t xml:space="preserve"> </w:t>
      </w:r>
      <w:r>
        <w:t xml:space="preserve">in two adjacent birth-year cohorts of the same register (an internal replication). Throughout,</w:t>
      </w:r>
      <w:r>
        <w:t xml:space="preserve"> </w:t>
      </w:r>
      <w:r>
        <w:rPr>
          <w:i/>
          <w:iCs/>
        </w:rPr>
        <w:t xml:space="preserve">competition behavior</w:t>
      </w:r>
      <w:r>
        <w:t xml:space="preserve"> </w:t>
      </w:r>
      <w:r>
        <w:t xml:space="preserve">is an observable behavioral indicator, not a direct measure of motivation, whose temporal structure can be compared with process accounts: declining competition participation is treated as a behavioral marker of disengagement, not as disengagement itself;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t xml:space="preserve">(The exception, occasional invitational regional-team matches for 14–15-year-olds, does not gate ordinary competition.) Athletes and their families decide which meets and events to enter; entry fees are ordinarily paid by the club, participation is actively encouraged, and travel distances are typically short. The first genuinely selective competition is the national youth championship (Ungdomsmesterskapet, UM), open from the calendar year athletes turn 15, with event-specific qualifying standards. Two design consequences follow: before age 15, meet counts primarily express the athlete’s own choice rather than selection or entry costs, which licenses interpreting ages-13–14 volume as a behavioral indicator of engagement; and the ages-15–16 window coincides with the first selective gate (UM), which is why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(the last also serving the northern districts). Athletes were 13–14 and were entered by their district federations under district quotas, with no qualifying performance standard and no entry fee; this soft selection into the baseline meet is a design feature: disengagement trajectories arise from a baseline of demonstrable engagement. The target population is thus the engaged core of the age group, not every athlete with a registered result (Section 3.1). Birth years were restricted to 1998–2002 (boundary years 1997 and 2003 had only one eligible edition), and athletes appearing in both a 13- and a 14-year-old edition were de-duplicated to the earlier one (Supplementary Figure S0). For an internal cohort replication, participants were partitioned into Cohort A (births 1998–2000, baseline meets 2011–2014; n = 1,301) and Cohort B (births 2001–2002, baseline meets 2014–2016; n = 822). Athletes were retained regardless of club transfers (27.8% recorded results for two or more clubs), so changing club does not register as dropout. The total cohort comprised 2,123 athletes (996 male, 1,103 female, 24 with no registered sex), generating 230,868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senior age),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 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 All events at the baseline meet were scored with the implement- and hurdle-specific norms for the athlete’s sex and age (Supplementary Methods S-M3). 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 (sprint, middle-distance, long-distance, hurdles, jumps, throws, combined events, race walking, relay)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The baseline index is computed from results at ages 13–14 only, the window of the volume predictor (combined-event handling: Supplementary Methods S-M8). Categories co-occur unevenly (sprints and hurdles share training demands; throws transfer little); the HHI treats them symmetrically (see the limitations).</w:t>
      </w:r>
    </w:p>
    <w:bookmarkEnd w:id="20"/>
    <w:bookmarkStart w:id="21" w:name="Xcee8e2a7fa75626651cea146d51b2bff03a6673"/>
    <w:p>
      <w:pPr>
        <w:pStyle w:val="Heading3"/>
      </w:pPr>
      <w:r>
        <w:t xml:space="preserve">2.4.4 Competition participation (behavioral markers)</w:t>
      </w:r>
    </w:p>
    <w:p>
      <w:pPr>
        <w:pStyle w:val="FirstParagraph"/>
      </w:pPr>
      <w:r>
        <w:t xml:space="preserve">For each athlete and age-year from 13 to 18 we counted distinct meets attended (vol_age_X; a multi-event competition counts as one meet) 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 because participation can also decline through injury, another sport, or school constraints, we treat declining participation as a marker of disengagement, not disengagement itself.</w:t>
      </w:r>
    </w:p>
    <w:bookmarkEnd w:id="21"/>
    <w:bookmarkStart w:id="22" w:name="controls"/>
    <w:p>
      <w:pPr>
        <w:pStyle w:val="Heading3"/>
      </w:pPr>
      <w:r>
        <w:t xml:space="preserve">2.4.5 Controls</w:t>
      </w:r>
    </w:p>
    <w:p>
      <w:pPr>
        <w:pStyle w:val="FirstParagraph"/>
      </w:pPr>
      <w:r>
        <w:t xml:space="preserve">Sex (M/F as registered), birth quarter (Q1–Q4; Q1 = January–March, the relatively oldest in the calendar-year age group; unknown for 84 athletes registered without birth date), baseline region (eastern, mid, or western Norway, by venue), and club size in the baseline year (registered athletes in the same club). The 24 athletes without registered sex are excluded from all regression models, which condition on sex (Supplementary Methods S-M3).</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HHI, and pre-milestone volume, fitted in a nested sequence (L1: sex; L2: + Tyrving; L3: + HHI; L4: + volume) to characterize each variable class’s unique contribution. Continuous covariates were z-standardized (per-SD effects; re-estimated within each training fold during cross-validation), and all nested models were fitted on the fixed L4 complete-case sample. 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 Restricting predictors to ages 13–14 keeps the primary estimate unambiguously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the relative-age extremes</w:t>
      </w:r>
      <w:r>
        <w:rPr>
          <w:vertAlign w:val="superscript"/>
        </w:rPr>
        <w:t xml:space="preserve">15</w:t>
      </w:r>
      <w:r>
        <w:t xml:space="preserve">; full coding as sensitivity),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 Level, change, and within-athlete decline before exit</w:t>
      </w:r>
    </w:p>
    <w:p>
      <w:pPr>
        <w:pStyle w:val="FirstParagraph"/>
      </w:pPr>
      <w:r>
        <w:t xml:space="preserve">To disentangle early behavioral heterogeneity from within-athlete decline, we fit a logistic regression on athletes still active at age 14 (1,914; complete-case model n = 1,888) including both the volume level at age 14 and the change from 14 to 15 (Table 4; change = later minus earlier volume, so OR &gt; 1 per SD means that decline predicts lower retention). Because a change score can span the exit itself, three analyses probe the within-athlete claim directly: exit-aligned trajectories (volume one to three seasons before each dropout’s own final active season), a contamination-free change model among athletes still active at 16 (level at 15 plus change 15→16 predicting senior status; Supplementary Table S19), and an athlete fixed-effects model of log(1 + meets) at ages 13–19, with age fixed effects and indicators for the final active season and the three preceding seasons, which estimates each athlete’s decline relative to their own earlier volume (Supplementary Methods S-M6). Prospective early-warning thresholds on pre-milestone volume (classification performance at candidate cut-offs at the end of the age-14 season, with bootstrap CIs) are reported in Table 6, with cut-offs also derived in one birth cohort and tested in the other (Supplementary Table S29).</w:t>
      </w:r>
    </w:p>
    <w:bookmarkEnd w:id="26"/>
    <w:bookmarkStart w:id="27" w:name="X7439450477d30e4eede84f2423a577a00bb0c32"/>
    <w:p>
      <w:pPr>
        <w:pStyle w:val="Heading3"/>
      </w:pPr>
      <w:r>
        <w:t xml:space="preserve">2.5.4 Time-to-cessation survival analysis (secondary)</w:t>
      </w:r>
    </w:p>
    <w:p>
      <w:pPr>
        <w:pStyle w:val="FirstParagraph"/>
      </w:pPr>
      <w:r>
        <w:t xml:space="preserve">Time from baseline to last active season was modeled with Cox proportional hazards regression,</w:t>
      </w:r>
      <w:r>
        <w:rPr>
          <w:vertAlign w:val="superscript"/>
        </w:rPr>
        <w:t xml:space="preserve">28</w:t>
      </w:r>
      <w:r>
        <w:t xml:space="preserve"> </w:t>
      </w:r>
      <w:r>
        <w:t xml:space="preserve">with a baseline-only primary specification (Supplementary Table S16), a landmark analysis</w:t>
      </w:r>
      <w:r>
        <w:rPr>
          <w:vertAlign w:val="superscript"/>
        </w:rPr>
        <w:t xml:space="preserve">29</w:t>
      </w:r>
      <w:r>
        <w:t xml:space="preserve"> </w:t>
      </w:r>
      <w:r>
        <w:t xml:space="preserve">among athletes active at age 16 (Supplementary Table S8), and a post-baseline specification interpreted with overlap caveats (Table 5). Temporary gaps followed by a return are not events; definitions ending the spell at the first two-season gap or the first inactive season are reported in Supplementary Table S30. 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 internal cohort replication</w:t>
      </w:r>
    </w:p>
    <w:p>
      <w:pPr>
        <w:pStyle w:val="FirstParagraph"/>
      </w:pPr>
      <w:r>
        <w:t xml:space="preserve">Because the full eligible population is observed, a detection-capacity analysis replaces a-priori power: the design could detect hazard ratios ≥1.07 and odds ratios ≥1.20 per SD (Supplementary Table S4), below typical effects in prior dropout research.</w:t>
      </w:r>
      <w:r>
        <w:rPr>
          <w:vertAlign w:val="superscript"/>
        </w:rPr>
        <w:t xml:space="preserve">23</w:t>
      </w:r>
      <w:r>
        <w:t xml:space="preserve"> </w:t>
      </w:r>
      <w:r>
        <w:t xml:space="preserve">Baseline Tyrving was missing for 28 athletes (1.3%; 24 without registered sex); other variables were complete. The primary analysis is complete-case (n = 2,095), with multiple imputation (m = 20; Supplementary Methods S-M3), mean imputation, and club-clustered standard errors as sensitivity analyses (Supplementary Tables S21, S5, S2; sample flow: Supplementary Table S12). Club-level confounding was probed via the intraclass correlation of volume across baseline clubs and a refit with club random intercepts (Supplementary Table S22). The primary and secondary models were re-estimated separately by birth cohort, an internal replication within one register and national system.</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2,123 athletes (52.0% female): 1,301 in Cohort A and 822 in Cohort B, closely matched at baseline (mean Tyrving 712 and 715 and ~41% active at 17 in each; Table 1). Senior retention (≥1 season with ≥2 results at age 20+) was 15.8% in Cohort A and 17.3% in Cohort B (combined 16.4%). The proportion still active in 2024+ was 5.8% (A) and 10.8% (B), reflecting Cohort B’s shorter follow-up (fixed-window outcome at ages 20–22: 15.3% vs 16.7%; Supplementary Table S24). Of all 7,327 register athletes born 1998–2002 with a result at ages 13–14, the cohort is 29%, but it contains 78% of those with ten or more meets at those ages and 77% of all who later competed as seniors; the others had a median of 2 meets and 2.0%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plotted separately for eventual retainers (n = 348) and non-retainers (n = 1,775). The groups already differ at baseline (medians of 13 vs. 8 meets at age 13, and 17 vs. 8 at age 14), and from age 15 they diverge sharply: retainers peak at 19 meets and sustain that level through 17, while future dropouts fall from 8 to 3 to 0. Baseline differences and within-athlete decline are separated formally in Section 3.5.</w:t>
      </w:r>
    </w:p>
    <w:p>
      <w:pPr>
        <w:pStyle w:val="BodyText"/>
      </w:pPr>
      <w:r>
        <w:t xml:space="preserve">Kaplan–Meier curves summarize the attrition (medians in Table 2): half the cohort ceased active competition within 3 years, 75% within 5, steepest at age 17, the youth-to-junior transition (Supplementary Figure S2); sex-stratified curves overlap (log-rank</w:t>
      </w:r>
      <w:r>
        <w:t xml:space="preserve"> </w:t>
      </w:r>
      <w:r>
        <w:rPr>
          <w:i/>
          <w:iCs/>
        </w:rPr>
        <w:t xml:space="preserve">p</w:t>
      </w:r>
      <w:r>
        <w:t xml:space="preserve"> </w:t>
      </w:r>
      <w:r>
        <w:t xml:space="preserve">= .33). Descriptively, curves by ages-15–16 volume separate monotonically (71% senior retention with ≥31 meets vs. 4%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provided the largest incremental contribution to prospective discrimination of senior retention 6–14 years later: OR = 2.25 per SD (95% CI [1.99, 2.55],</w:t>
      </w:r>
      <w:r>
        <w:rPr>
          <w:b/>
          <w:bCs/>
        </w:rPr>
        <w:t xml:space="preserve"> </w:t>
      </w:r>
      <w:r>
        <w:rPr>
          <w:b/>
          <w:bCs/>
          <w:i/>
          <w:iCs/>
        </w:rPr>
        <w:t xml:space="preserve">p</w:t>
      </w:r>
      <w:r>
        <w:rPr>
          <w:b/>
          <w:bCs/>
        </w:rPr>
        <w:t xml:space="preserve"> </w:t>
      </w:r>
      <w:r>
        <w:rPr>
          <w:b/>
          <w:bCs/>
        </w:rPr>
        <w:t xml:space="preserve">&lt; .001), cross-validated AUC = 0.746 (95% CI 0.716–0.776).</w:t>
      </w:r>
      <w:r>
        <w:t xml:space="preserve"> </w:t>
      </w:r>
      <w:r>
        <w:t xml:space="preserve">In the stepwise models (Table 3), CV-AUC was 0.535 (sex), 0.641 (+ Tyrving), 0.636 (+ HHI), and 0.746 (+ volume; increase 0.110, 95% CI 0.081–0.140; Supplementary Table S27), with well-calibrated predictions (calibration slope 0.98, calibration-in-the-large 0.00, Brier 0.120; Supplementary Table S23). In the full model, baseline performance (OR = 1.23 per SD, 95% CI [1.06, 1.42]) and HHI (OR = 1.27 per SD, 95% CI [1.12, 1.44]) retained smaller associations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essentially unchanged (OR = 2.26 vs. 2.25); no structural covariate was significant (</w:t>
      </w:r>
      <w:r>
        <w:rPr>
          <w:i/>
          <w:iCs/>
        </w:rPr>
        <w:t xml:space="preserve">p</w:t>
      </w:r>
      <w:r>
        <w:t xml:space="preserve"> </w:t>
      </w:r>
      <w:r>
        <w:t xml:space="preserve">&gt; .17; Supplementary Table S13; full quarter coding: χ²(3) = 3.24, p = .36). A quarter of volume variance lies between clubs (ICC = 0.24, 287 clubs), but with club random intercepts the coefficient was, if anything, larger (OR = 2.43, 95% CI [2.17, 2.72]; Supplementary Table S22), and folds grouped by club gave the same cross-validated AUC (0.746 [0.709, 0.783]; Supplementary Table S26): the association holds within clubs and carries over to clubs not used for fitting.</w:t>
      </w:r>
    </w:p>
    <w:bookmarkEnd w:id="37"/>
    <w:bookmarkStart w:id="38" w:name="Xb605678fcb2abceaec1c001a4bcd0f3eaaa0fb1"/>
    <w:p>
      <w:pPr>
        <w:pStyle w:val="Heading2"/>
      </w:pPr>
      <w:r>
        <w:t xml:space="preserve">3.5 Within-athlete decline versus baseline heterogeneity</w:t>
      </w:r>
    </w:p>
    <w:p>
      <w:pPr>
        <w:pStyle w:val="FirstParagraph"/>
      </w:pPr>
      <w:r>
        <w:rPr>
          <w:b/>
          <w:bCs/>
        </w:rPr>
        <w:t xml:space="preserve">Early behavioral heterogeneity and within-athlete decline contribute independently; they are not substitutes.</w:t>
      </w:r>
      <w:r>
        <w:t xml:space="preserve"> </w:t>
      </w:r>
      <w:r>
        <w:t xml:space="preserve">Four analyses separate the two readings of Figure 2.</w:t>
      </w:r>
    </w:p>
    <w:p>
      <w:pPr>
        <w:pStyle w:val="BodyText"/>
      </w:pPr>
      <w:r>
        <w:t xml:space="preserve">First, level and change. Among athletes still active at age 14 (1,914; complete-case model n = 1,888), the age-14 volume level (OR = 2.70 per SD, 95% CI [2.33, 3.12]) and the change from age 14 to 15 (OR = 2.38 per SD increase, 95% CI [2.08, 2.73]; i.e., OR = 0.42 per SD, about 6.5 meets, of decline) contributed independently (both</w:t>
      </w:r>
      <w:r>
        <w:t xml:space="preserve"> </w:t>
      </w:r>
      <w:r>
        <w:rPr>
          <w:i/>
          <w:iCs/>
        </w:rPr>
        <w:t xml:space="preserve">p</w:t>
      </w:r>
      <w:r>
        <w:t xml:space="preserve"> </w:t>
      </w:r>
      <w:r>
        <w:t xml:space="preserve">&lt; .001); adding change raised pseudo-</w:t>
      </w:r>
      <w:r>
        <w:rPr>
          <w:i/>
          <w:iCs/>
        </w:rPr>
        <w:t xml:space="preserve">R</w:t>
      </w:r>
      <w:r>
        <w:t xml:space="preserve">² from 0.122 to 0.229 (Table 4).</w:t>
      </w:r>
    </w:p>
    <w:p>
      <w:pPr>
        <w:pStyle w:val="BodyText"/>
      </w:pPr>
      <w:r>
        <w:t xml:space="preserve">Second, because a change score spanning the exit could conflate decline with the exit itself, we repeated the test where no exit can contaminate it: among athletes still competing at age 16 (≥2 results; n = 1,075), volume at 15 (OR = 3.04, 95% CI [2.55, 3.62]) and change from 15 to 16 (OR = 1.88 per SD increase, 95% CI [1.60, 2.20]; 0.53 per SD of decline; both</w:t>
      </w:r>
      <w:r>
        <w:t xml:space="preserve"> </w:t>
      </w:r>
      <w:r>
        <w:rPr>
          <w:i/>
          <w:iCs/>
        </w:rPr>
        <w:t xml:space="preserve">p</w:t>
      </w:r>
      <w:r>
        <w:t xml:space="preserve"> </w:t>
      </w:r>
      <w:r>
        <w:t xml:space="preserve">&lt; .001) predicted senior status four or more years later (CV-AUC = 0.761): decline predicts exit among athletes who are all, at measurement, still active.</w:t>
      </w:r>
    </w:p>
    <w:p>
      <w:pPr>
        <w:pStyle w:val="BodyText"/>
      </w:pPr>
      <w:r>
        <w:t xml:space="preserve">Third, exit-aligned trajectories. Aligned to each dropout’s own final active season (n = 1,139 with final seasons at ages 15–19), median volumes at T−3, T−2, T−1, and T were 12, 10, 9, and 4 meets; 95% were still competing in their penultimate season, and among final seasons at 16+ (n = 795), 74% had a</w:t>
      </w:r>
      <w:r>
        <w:t xml:space="preserve"> </w:t>
      </w:r>
      <w:r>
        <w:rPr>
          <w:i/>
          <w:iCs/>
        </w:rPr>
        <w:t xml:space="preserve">reduced-but-nonzero</w:t>
      </w:r>
      <w:r>
        <w:t xml:space="preserve"> </w:t>
      </w:r>
      <w:r>
        <w:t xml:space="preserve">penultimate season relative to their earlier peak, 6.5% a gap year, and 19% exited from peak volume (Supplementary Table S19).</w:t>
      </w:r>
    </w:p>
    <w:p>
      <w:pPr>
        <w:pStyle w:val="BodyText"/>
      </w:pPr>
      <w:r>
        <w:t xml:space="preserve">Fourth, the athlete fixed-effects model (1,897 athletes; Supplementary Table S28, Supplementary Figure S5) placed volume 7% (95% CI 0–13%), 12% (5–19%), and 24% (16–31%) below each athlete’s own earlier level three, two, and one season(s) before the final active season, net of the common age profile; the decline steepened towards exit (</w:t>
      </w:r>
      <w:r>
        <w:rPr>
          <w:i/>
          <w:iCs/>
        </w:rPr>
        <w:t xml:space="preserve">p</w:t>
      </w:r>
      <w:r>
        <w:t xml:space="preserve"> </w:t>
      </w:r>
      <w:r>
        <w:t xml:space="preserve">&lt; .001) and was reproduced among exits at ages 17–19.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In a fully time-aligned comparison, with behavior and performance both measured at ages 13–14 to remove any temporal advantage, volume discriminated better: CV-AUC = 0.641 for sex + baseline Tyrving and 0.739 for sex + volume (difference 0.098, 95% CI 0.063–0.133), and adding Tyrving to volume changed nothing (difference −0.002 [−0.011, 0.007]; Supplementary Table S27). A within-baseline performance trajectory (Tyrving change from 13 to 14) raised performance-based discrimination to 0.701 (n = 1,692), narrowing but not reversing the gap (volume 0.734; difference 0.033 [−0.003, 0.069]).</w:t>
      </w:r>
    </w:p>
    <w:p>
      <w:pPr>
        <w:pStyle w:val="BodyText"/>
      </w:pPr>
      <w:r>
        <w:t xml:space="preserve">Volume and performance were moderately correlated (Spearman ρ = .38 with baseline Tyrving; .55 with pre-15 peak; .60 for milestone volume vs. age-15 Tyrving), but above-median volume was associated with higher senior retention within every baseline-Tyrving quartile, from 15.4% vs. 9.5% in the lowest to 36.0% vs. 13.9% in the highest (Supplementary Table S32).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active at age 16 (≥1 result; n = 1,167), volume across ages 15–16 was the largest contributor to subsequent cessation risk (HR = 0.60 per SD, 95% CI [0.55, 0.66], C-index = 0.735; complete-case n = 1,153; Supplementary Table S8); excluding athletes with milestone volume = 0 gave HR = 0.52 (Supplementary Table S11). The baseline-only Cox model (Supplementary Table S16), a period-specific decomposition (Table 5), and diagnostics (Supplementary Tables S1, S6, S10, S17; Supplementary Figures S1, S4) are descriptive companions; post-baseline Cox estimates are not primary (predictor and at-risk window overlap), and their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Because the primary analysis uses only baseline-window data, a prospective rule can be evaluated at the end of the age-14 season (Table 6, with bootstrap CIs). At a moderate candidate threshold (vol &lt; 10 meets across ages 13–14, flagging 26.4%), senior retention was 5.7% among flagged athletes versus 20.2% among unflagged, a 3.5-fold difference in retention prospects (PPV = 0.94, sensitivity = 0.30); lower (&lt; 5) and higher (&lt; 15) thresholds narrow or broaden the screen. Two properties discipline use: PPV partly reflects the 84% base rate (~10-point precision gain), and NPV = 0.20 means unflagged athletes are</w:t>
      </w:r>
      <w:r>
        <w:t xml:space="preserve"> </w:t>
      </w:r>
      <w:r>
        <w:rPr>
          <w:i/>
          <w:iCs/>
        </w:rPr>
        <w:t xml:space="preserve">not</w:t>
      </w:r>
      <w:r>
        <w:t xml:space="preserve"> </w:t>
      </w:r>
      <w:r>
        <w:t xml:space="preserve">“safe”</w:t>
      </w:r>
      <w:r>
        <w:t xml:space="preserve">: four in five also fail to retain. Derived in one cohort and tested in the other, the rule held: the lowest volume quartile in Cohort A is exactly &lt; 10 meets, which in Cohort B flagged 24.8%, with retention 4.9% versus 21.4% (PPV = 0.95), and the reverse direction was similar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at ages 13–14) was associated with higher senior retention: OR = 1.27 per SD (95% CI [1.12, 1.44],</w:t>
      </w:r>
      <w:r>
        <w:t xml:space="preserve"> </w:t>
      </w:r>
      <w:r>
        <w:rPr>
          <w:i/>
          <w:iCs/>
        </w:rPr>
        <w:t xml:space="preserve">p</w:t>
      </w:r>
      <w:r>
        <w:t xml:space="preserve"> </w:t>
      </w:r>
      <w:r>
        <w:t xml:space="preserve">&lt; .001) in the primary regression and HR = 0.89 [0.85, 0.94] in the baseline-only Cox model, but the association was modest: clear in Cohort B (OR = 1.44), not significant in Cohort A (OR = 1.16, 95% CI [0.97, 1.37]), and without gain in discrimination (ΔAUC = −0.005 [−0.017, 0.008]). Because HHI is bounded below by 1/(result count), we stress-tested for count-dependence; the association was unchanged under restriction to ≥5 and ≥8 results at ages 13–14 (OR = 1.26, 1.24) and a finite-sample-corrected index (OR = 1.29, 95% CI [1.14, 1.46]; Supplementary Table S20): it is not a small-count artifact. The index captures concentration</w:t>
      </w:r>
      <w:r>
        <w:t xml:space="preserve"> </w:t>
      </w:r>
      <w:r>
        <w:rPr>
          <w:i/>
          <w:iCs/>
        </w:rPr>
        <w:t xml:space="preserve">within</w:t>
      </w:r>
      <w:r>
        <w:t xml:space="preserve"> </w:t>
      </w:r>
      <w:r>
        <w:t xml:space="preserve">track and field, not multisport diversification (§4.6).</w:t>
      </w:r>
    </w:p>
    <w:bookmarkEnd w:id="42"/>
    <w:bookmarkStart w:id="43" w:name="Xc24900d152d1ea4b537c2240c8708c9c2bfa41a"/>
    <w:p>
      <w:pPr>
        <w:pStyle w:val="Heading2"/>
      </w:pPr>
      <w:r>
        <w:t xml:space="preserve">3.10 Internal cohort replication and sensitivity</w:t>
      </w:r>
    </w:p>
    <w:p>
      <w:pPr>
        <w:pStyle w:val="FirstParagraph"/>
      </w:pPr>
      <w:r>
        <w:t xml:space="preserve">Re-estimated by cohort, the pre-milestone volume effect was reproduced: Cohort A OR = 2.22 (95% CI [1.89, 2.60]), Cohort B OR = 2.33 (95% CI [1.90, 2.87]), both</w:t>
      </w:r>
      <w:r>
        <w:t xml:space="preserve"> </w:t>
      </w:r>
      <w:r>
        <w:rPr>
          <w:i/>
          <w:iCs/>
        </w:rPr>
        <w:t xml:space="preserve">p</w:t>
      </w:r>
      <w:r>
        <w:t xml:space="preserve"> </w:t>
      </w:r>
      <w:r>
        <w:t xml:space="preserve">&lt; .001 (Table 7); female sex predicted lower retention in both cohorts.</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 2.16, 2.25, 2.08 across the three definitions; Supplementary Table S9), to the fixed-window outcome (ages 20–22: OR = 2.28; Supplementary Table S24), to multiple imputation (Supplementary Table S21), to treating temporary gaps as exits (Cox HR 0.54, 0.51, 0.50; Supplementary Table S30; only 4.4% of athletes who missed two consecutive seasons ever returned), and to cluster-robust standard errors (Supplementary Table S2). For unmeasured confounding, the E-value is 2.4 (odds ratio converted to a risk ratio of ≈1.50 for this common outcome; baseline-only Cox: 2.4; Supplementary Table S3): a confounder would need risk-ratio associations of ≈2.4 with both early volume and retention, stronger than any measured covariate, to explain the association away.</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2,123 young athletes. First, competition volume at ages 13–14 was strongly and prospectively associated with retaining senior competition. Second, the association was reproduced in both birth cohorts and withstood structural controls, club random effects, club-grouped validation, and multiple imputation. Third, the dropout signal decomposed into two components: early behavioral heterogeneity visible at 13–14, and a within-athlete decline in competition participation before exit. Exit-aligned trajectories showed most dropouts tapering (median 12 → 10 → 9 → 4 meets across their last four seasons), each athlete’s volume fell below their own earlier level in the two seasons before exit, and decline predicted exit even among athletes all still active at 16. Fourth, higher event-category concentration within track and field was modestly associated with higher retention; this is a different construct from, not a contradiction of, multisport diversification (§4.6).</w:t>
      </w:r>
    </w:p>
    <w:bookmarkEnd w:id="45"/>
    <w:bookmarkStart w:id="46" w:name="Xd43e38b2e9a635f0e8c69db93183c1dd760b038"/>
    <w:p>
      <w:pPr>
        <w:pStyle w:val="Heading2"/>
      </w:pPr>
      <w:r>
        <w:t xml:space="preserve">4.2 Competition volume discriminates retention better than performance</w:t>
      </w:r>
    </w:p>
    <w:p>
      <w:pPr>
        <w:pStyle w:val="FirstParagraph"/>
      </w:pPr>
      <w:r>
        <w:t xml:space="preserve">Competition volume showed better discrimination of senior retention than performance (Tyrving score) measured in the same window (AUC difference 0.098; Section 3.6); a within-baseline performance trajectory narrowed but did not reverse the gap. Performance reflects capability; volume reflects the athlete’s own choices about taking part (licensed by the open-entry structure of Section 2.2), and those choices carry more information about later retention than capability does. Two caveats: volume is a near-noiseless count while Tyrving is a scored maximum, so part of the gap could be measurement precision (the within-stratum effects argue not all of it); and predictor and outcome both index registered activity, so volume’s advantage describes when disengagement becomes observable, not a causal mechanism.</w:t>
      </w:r>
    </w:p>
    <w:p>
      <w:pPr>
        <w:pStyle w:val="BodyText"/>
      </w:pPr>
      <w:r>
        <w:t xml:space="preserve">Low or declining volume can also have causes unrelated to waning engagement.</w:t>
      </w:r>
      <w:r>
        <w:t xml:space="preserve"> </w:t>
      </w:r>
      <w:r>
        <w:rPr>
          <w:i/>
          <w:iCs/>
        </w:rPr>
        <w:t xml:space="preserve">Cost:</w:t>
      </w:r>
      <w:r>
        <w:t xml:space="preserve"> </w:t>
      </w:r>
      <w:r>
        <w:t xml:space="preserve">sport expenses are cited as a dropout reason more often by Norwegian minority youth from less-resourced families</w:t>
      </w:r>
      <w:r>
        <w:rPr>
          <w:vertAlign w:val="superscript"/>
        </w:rPr>
        <w:t xml:space="preserve">10</w:t>
      </w:r>
      <w:r>
        <w:t xml:space="preserve">; the channel is attenuated here (clubs pay entry fees, travel is short) but not eliminated, and the register holds no socioeconomic data.</w:t>
      </w:r>
      <w:r>
        <w:t xml:space="preserve"> </w:t>
      </w:r>
      <w:r>
        <w:rPr>
          <w:i/>
          <w:iCs/>
        </w:rPr>
        <w:t xml:space="preserve">Injury:</w:t>
      </w:r>
      <w:r>
        <w:t xml:space="preserve"> </w:t>
      </w:r>
      <w:r>
        <w:t xml:space="preserve">injuries were the most frequently mentioned dropout reason in the 25-year Norwegian track-and-field follow-up (24.3%),</w:t>
      </w:r>
      <w:r>
        <w:rPr>
          <w:vertAlign w:val="superscript"/>
        </w:rPr>
        <w:t xml:space="preserve">3</w:t>
      </w:r>
      <w:r>
        <w:t xml:space="preserve"> </w:t>
      </w:r>
      <w:r>
        <w:t xml:space="preserve">and an injured 14-year-old produces the same register signature as a disengaging one, so part of the decline is plausibly enforced rather than chosen.</w:t>
      </w:r>
      <w:r>
        <w:t xml:space="preserve"> </w:t>
      </w:r>
      <w:r>
        <w:rPr>
          <w:i/>
          <w:iCs/>
        </w:rPr>
        <w:t xml:space="preserve">Other sports and school:</w:t>
      </w:r>
      <w:r>
        <w:t xml:space="preserve"> </w:t>
      </w:r>
      <w:r>
        <w:t xml:space="preserve">a move to another sport (§4.4) or school constraints leave the same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 Decline is visible within athletes, and so is early heterogeneity</w:t>
      </w:r>
    </w:p>
    <w:p>
      <w:pPr>
        <w:pStyle w:val="FirstParagraph"/>
      </w:pPr>
      <w:r>
        <w:t xml:space="preserve">Is the divergence in Figure 2 a within-athlete decline, or early differentiation only, or an artifact of averaging abrupt exits at heterogeneous ages? The exit-aligned and fixed-effects analyses answer at the individual level: 95% of dropouts were still competing in their penultimate season, only 19% exited directly from peak volume, and athletes competed 12% and 24% less than their own earlier level two seasons and one season before their final season. The typical exit is preceded by declining participation, not a cliff, although the register shows the timing of this decline, not its reasons (§4.2). Both components are nonetheless present: level and change carried independent information (Table 4), the pattern held in the contamination-free window (level OR = 3.04; change OR = 1.88 per SD increase),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w:t>
      </w:r>
      <w:r>
        <w:rPr>
          <w:vertAlign w:val="superscript"/>
        </w:rPr>
        <w:t xml:space="preserve">6,7</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the latter less sustainable and linked to burnout</w:t>
      </w:r>
      <w:r>
        <w:rPr>
          <w:vertAlign w:val="superscript"/>
        </w:rPr>
        <w:t xml:space="preserve">35</w:t>
      </w:r>
      <w:r>
        <w:t xml:space="preserve">; declining volume before exit fits an eroding commitment balance, though the register cannot distinguish waning enthusiasm from accumulating constraint. Withdrawal-as-process accounts</w:t>
      </w:r>
      <w:r>
        <w:rPr>
          <w:vertAlign w:val="superscript"/>
        </w:rPr>
        <w:t xml:space="preserve">5,9</w:t>
      </w:r>
      <w:r>
        <w:t xml:space="preserve"> </w:t>
      </w:r>
      <w:r>
        <w:t xml:space="preserve">describe leaving as a gradual deliberative passage (first doubts, weighing of alternatives, a turning point) among athletes who remain formally involved: precisely what the exit-aligned trajectories show, a typical future dropout still competing, at reduced volume, for one or two seasons before the final exit. The register cannot observe the deliberation, but it can now observe its behavioral shape, thinning participation before exit, at the individual level.</w:t>
      </w:r>
    </w:p>
    <w:p>
      <w:pPr>
        <w:pStyle w:val="BodyText"/>
      </w:pPr>
      <w:r>
        <w:t xml:space="preserve">Two readings of the same footprint deserve equal standing. Declining volume may mark</w:t>
      </w:r>
      <w:r>
        <w:t xml:space="preserve"> </w:t>
      </w:r>
      <w:r>
        <w:rPr>
          <w:i/>
          <w:iCs/>
        </w:rPr>
        <w:t xml:space="preserve">disengagement from sport</w:t>
      </w:r>
      <w:r>
        <w:t xml:space="preserve">, the commitment-erosion reading. It may also mark</w:t>
      </w:r>
      <w:r>
        <w:t xml:space="preserve"> </w:t>
      </w:r>
      <w:r>
        <w:rPr>
          <w:i/>
          <w:iCs/>
        </w:rPr>
        <w:t xml:space="preserve">engagement reallocation</w:t>
      </w:r>
      <w:r>
        <w:t xml:space="preserve">: ages 14–16 are precisely when Norwegian multi-sport youth consolidate into one sport, so for some athletes declining track-and-field volume signals rising commitment to handball or football rather than to nothing: the developmentally appropriate transitions that Battaglia et al.</w:t>
      </w:r>
      <w:r>
        <w:rPr>
          <w:vertAlign w:val="superscript"/>
        </w:rPr>
        <w:t xml:space="preserve">4</w:t>
      </w:r>
      <w:r>
        <w:t xml:space="preserve"> </w:t>
      </w:r>
      <w:r>
        <w:t xml:space="preserve">argue the dropout-as-crisis framing wrongly pathologizes. The register cannot separate the two; Norwegian participation research is compatible with both, since involvement is strongly stratified, from heavy to light,</w:t>
      </w:r>
      <w:r>
        <w:rPr>
          <w:vertAlign w:val="superscript"/>
        </w:rPr>
        <w:t xml:space="preserve">11,12</w:t>
      </w:r>
      <w:r>
        <w:t xml:space="preserve"> </w:t>
      </w:r>
      <w:r>
        <w:t xml:space="preserve">and exit from organized sport can itself reclaim time and autonomy rather than mark a loss.</w:t>
      </w:r>
      <w:r>
        <w:rPr>
          <w:vertAlign w:val="superscript"/>
        </w:rPr>
        <w:t xml:space="preserve">12</w:t>
      </w:r>
      <w:r>
        <w:t xml:space="preserve"> </w:t>
      </w:r>
      <w:r>
        <w:t xml:space="preserve">What the register demonstrates is that</w:t>
      </w:r>
      <w:r>
        <w:t xml:space="preserve"> </w:t>
      </w:r>
      <w:r>
        <w:rPr>
          <w:i/>
          <w:iCs/>
        </w:rPr>
        <w:t xml:space="preserve">some</w:t>
      </w:r>
      <w:r>
        <w:t xml:space="preserve"> </w:t>
      </w:r>
      <w:r>
        <w:t xml:space="preserve">mechanism (erosion, reallocation, or constraint) leaves a footprint readable in registered activity before exit.</w:t>
      </w:r>
    </w:p>
    <w:bookmarkEnd w:id="48"/>
    <w:bookmarkStart w:id="49" w:name="sex-effect"/>
    <w:p>
      <w:pPr>
        <w:pStyle w:val="Heading2"/>
      </w:pPr>
      <w:r>
        <w:t xml:space="preserve">4.5 Sex effect</w:t>
      </w:r>
    </w:p>
    <w:p>
      <w:pPr>
        <w:pStyle w:val="FirstParagraph"/>
      </w:pPr>
      <w:r>
        <w:t xml:space="preserve">The sex pattern differs by specification, informatively. Unadjusted, Kaplan–Meier curves showed no clear sex difference (log-rank</w:t>
      </w:r>
      <w:r>
        <w:t xml:space="preserve"> </w:t>
      </w:r>
      <w:r>
        <w:rPr>
          <w:i/>
          <w:iCs/>
        </w:rPr>
        <w:t xml:space="preserve">p</w:t>
      </w:r>
      <w:r>
        <w:t xml:space="preserve"> </w:t>
      </w:r>
      <w:r>
        <w:t xml:space="preserve">= .33); adjusted, females retained at significantly lower odds in every layer of the primary model (OR = 0.76 sex-only, 0.61 full model; Table 3) and in both cohorts:</w:t>
      </w:r>
      <w:r>
        <w:t xml:space="preserve"> </w:t>
      </w:r>
      <w:r>
        <w:rPr>
          <w:i/>
          <w:iCs/>
        </w:rPr>
        <w:t xml:space="preserve">conditional on the same early volume, concentration, and performance</w:t>
      </w:r>
      <w:r>
        <w:t xml:space="preserve">, girls were less likely to remain, their higher early volumes partially masking the gap. The behavioral mechanism itself was similar across sexes (milestone-window volume HR = 0.44 for males and 0.45 for females; Supplementary Table S7), so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was modestly associated with greater senior retention (OR = 1.27 per SD; Cox HR = 0.89), robust to count-dependence tests but clear only in the younger cohort and without discriminative value (Section 3.9). That finding should not be read against the diversification literature,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 conditional on already participating in it, and the register says nothing about other sports: an athlete concentrated within track and field may simultaneously be a multisport sampler. The across-sport evidence is also less settled than often assumed: in youth swimming, early-specialization markers were</w:t>
      </w:r>
      <w:r>
        <w:t xml:space="preserve"> </w:t>
      </w:r>
      <w:r>
        <w:rPr>
          <w:i/>
          <w:iCs/>
        </w:rPr>
        <w:t xml:space="preserve">not</w:t>
      </w:r>
      <w:r>
        <w:t xml:space="preserve"> </w:t>
      </w:r>
      <w:r>
        <w:t xml:space="preserve">positively related to burnout and dropout,</w:t>
      </w:r>
      <w:r>
        <w:rPr>
          <w:vertAlign w:val="superscript"/>
        </w:rPr>
        <w:t xml:space="preserve">36</w:t>
      </w:r>
      <w:r>
        <w:t xml:space="preserve"> </w:t>
      </w:r>
      <w:r>
        <w:t xml:space="preserve">and blanket condemnation of early specialization has been argued to outrun the evidence.</w:t>
      </w:r>
      <w:r>
        <w:rPr>
          <w:vertAlign w:val="superscript"/>
        </w:rPr>
        <w:t xml:space="preserve">37</w:t>
      </w:r>
      <w:r>
        <w:t xml:space="preserve"> </w:t>
      </w:r>
      <w:r>
        <w:t xml:space="preserve">The outcome also differs (retention at 20, not elite performance), and HHI is not a proxy for main-event performance (r = −0.06; coefficient 1.23 when primary-category Tyrving is added; Supplementary Table S18). Governing bodies should read this neither as a license to push early specialization nor as grounds for forced diversification among motivated adolescents.</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0.746, unchanged under club-grouped validation), an internal cohort replication, and an E-value of ≈2.4.</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 Four implications follow.</w:t>
      </w:r>
    </w:p>
    <w:p>
      <w:pPr>
        <w:pStyle w:val="BodyText"/>
      </w:pPr>
      <w:r>
        <w:rPr>
          <w:b/>
          <w:bCs/>
        </w:rPr>
        <w:t xml:space="preserve">(1) Register-based flagging at the end of the age-14 season.</w:t>
      </w:r>
      <w:r>
        <w:t xml:space="preserve"> </w:t>
      </w:r>
      <w:r>
        <w:t xml:space="preserve">Flag athletes whose ages-13–14 competition count falls below a candidate threshold. At &lt; 10 meets, the flag captures 26% of the cohort whose senior retention is 5.7%, versus 20.2% among the unflagged, a 3.5-fold difference computed automatically from data the federation already holds (Table 6; similar when derived in one birth cohort and applied to the other, Supplementary Table S29). Every flagged athlete is low-but-active (cohort entry guarantees a baseline meet), so the flag list is an outreach list, and the threshold behaves similarly against an activity-at-17 outcome (14% vs 51% still active). Two numbers discipline its use: sensitivity is 0.30, so most future dropouts are</w:t>
      </w:r>
      <w:r>
        <w:t xml:space="preserve"> </w:t>
      </w:r>
      <w:r>
        <w:rPr>
          <w:i/>
          <w:iCs/>
        </w:rPr>
        <w:t xml:space="preserve">not</w:t>
      </w:r>
      <w:r>
        <w:t xml:space="preserve"> </w:t>
      </w:r>
      <w:r>
        <w:t xml:space="preserve">flagged, and unflagged athletes’ own retention is only ~20%. 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 steepest attrition at 17.</w:t>
      </w:r>
    </w:p>
    <w:p>
      <w:pPr>
        <w:pStyle w:val="BodyText"/>
      </w:pPr>
      <w:r>
        <w:rPr>
          <w:b/>
          <w:bCs/>
        </w:rPr>
        <w:t xml:space="preserve">(3) Lower the cost side of the next competition cycle, as an offer and never as pressure.</w:t>
      </w:r>
      <w:r>
        <w:t xml:space="preserve"> </w:t>
      </w:r>
      <w:r>
        <w:t xml:space="preserve">With entry fees club-paid and travel short (Section 2.2), the remaining levers are residual and psychological costs: membership and equipment support, coach-accompanied transport,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 athletes choosing other priorities, for whom retention pressure would be misplaced; understanding</w:t>
      </w:r>
      <w:r>
        <w:t xml:space="preserve"> </w:t>
      </w:r>
      <w:r>
        <w:rPr>
          <w:i/>
          <w:iCs/>
        </w:rPr>
        <w:t xml:space="preserve">why</w:t>
      </w:r>
      <w:r>
        <w:t xml:space="preserve"> </w:t>
      </w:r>
      <w:r>
        <w:t xml:space="preserve">still requires conversation, for which commitment instruments such as the SCQ-2 complement the register.</w:t>
      </w:r>
    </w:p>
    <w:p>
      <w:pPr>
        <w:pStyle w:val="BodyText"/>
      </w:pPr>
      <w:r>
        <w:rPr>
          <w:b/>
          <w:bCs/>
        </w:rPr>
        <w:t xml:space="preserve">(4) Be cautious about prescribing event diversification for retention.</w:t>
      </w:r>
      <w:r>
        <w:t xml:space="preserve"> </w:t>
      </w:r>
      <w:r>
        <w:t xml:space="preserve">Within-sport concentration was, if anything, associated with higher 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and the research-ethics exemption this study relies on (Section 2.7) licenses none of it. Deployment would require a federation’s own legal basis and a data-protection impact assessment; flags visible to a designated officer rather than routinely to coaches (avoiding expectancy and labeling effects); informed families with an opt-out; a retention limit for flag data; and attention to equity, which the register cannot audit. That the screen runs without athlete contact is a transparency problem to solve, not a feature, and the flag must be support-only: the same list that identifies whom to help could identify whom a stretched club quietly deprioritizes. These preconditions, and the untested intervention effect, are why the next step is the pilot of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 decline is therefore plausibly non-volitional, and the qualitative literature remains essential for</w:t>
      </w:r>
      <w:r>
        <w:t xml:space="preserve"> </w:t>
      </w:r>
      <w:r>
        <w:rPr>
          <w:i/>
          <w:iCs/>
        </w:rPr>
        <w:t xml:space="preserve">why</w:t>
      </w:r>
      <w:r>
        <w:t xml:space="preserve"> </w:t>
      </w:r>
      <w:r>
        <w:t xml:space="preserve">volume declines. Third, the target population is the engaged core, athletes entered for the national 13–14 meet (29% of register athletes with a result at 13–14, but 77% of eventual seniors), not all young athletes; among casual participants outside the cohort, volume was also associated with retention (OR = 2.07 per 10 meets; Supplementary Table S31), but the thresholds and absolute rates apply to the engaged core. The three venues cover eastern, western, and mid Norway, with northern districts served by the mid-Norway venue. Fourth, predictor and outcome share a measurement scale; despite the baseline-only model, the change models, the exit-aligned and fixed-effects analyses, and landmark and zero-volume sensitivities, structural overlap remains a conceptual limitation of register-only designs. Fifth, the post-baseline Cox specification violated proportional hazards (Schoenfeld χ² = 277.1); its estimates are descriptive only. Sixth, the HHI treats event categories symmetrically although they co-occur unevenly (98% of hurdlers also sprinted), so identical values can represent different combination patterns. Seventh, the youngest cohort has at most four post-senior years of observation, though the fixed-window outcome gives near-identical results. Eighth, the thresholds are candidates calibrated to a complete-register, open-entry, club-pays system; 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 in the seasons before exit, and is no averaging artifact. The effect withstands structural, club-level, missing-data, and outcome-definition checks and is reproduced in both birth cohorts; early heterogeneity and within-athlete decline contribute independently. The findings are consistent with, though do not by themselves confirm, accounts of withdrawal as a gradual deliberative process, and they yield a register-implementable targeting rule whose intervention value, under the governance preconditions above,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or later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Ever 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712</w:t>
            </w:r>
          </w:p>
        </w:tc>
        <w:tc>
          <w:tcPr/>
          <w:p>
            <w:pPr>
              <w:pStyle w:val="Compact"/>
            </w:pPr>
            <w:r>
              <w:t xml:space="preserve">715</w:t>
            </w:r>
          </w:p>
        </w:tc>
        <w:tc>
          <w:tcPr/>
          <w:p>
            <w:pPr>
              <w:pStyle w:val="Compact"/>
            </w:pPr>
            <w:r>
              <w:t xml:space="preserve">713</w:t>
            </w:r>
          </w:p>
        </w:tc>
      </w:tr>
      <w:tr>
        <w:tc>
          <w:tcPr/>
          <w:p>
            <w:pPr>
              <w:pStyle w:val="Compact"/>
            </w:pPr>
            <w:r>
              <w:t xml:space="preserve">Median total meets, ages 13–14 (pre-milestone volume)</w:t>
            </w:r>
          </w:p>
        </w:tc>
        <w:tc>
          <w:tcPr/>
          <w:p>
            <w:pPr>
              <w:pStyle w:val="Compact"/>
            </w:pPr>
            <w:r>
              <w:t xml:space="preserve">16</w:t>
            </w:r>
          </w:p>
        </w:tc>
        <w:tc>
          <w:tcPr/>
          <w:p>
            <w:pPr>
              <w:pStyle w:val="Compact"/>
            </w:pPr>
            <w:r>
              <w:t xml:space="preserve">19</w:t>
            </w:r>
          </w:p>
        </w:tc>
        <w:tc>
          <w:tcPr/>
          <w:p>
            <w:pPr>
              <w:pStyle w:val="Compact"/>
            </w:pPr>
            <w:r>
              <w:t xml:space="preserve">17</w:t>
            </w:r>
          </w:p>
        </w:tc>
      </w:tr>
    </w:tbl>
    <w:p>
      <w:pPr>
        <w:pStyle w:val="BodyText"/>
      </w:pPr>
      <w:r>
        <w:rPr>
          <w:i/>
          <w:iCs/>
        </w:rPr>
        <w:t xml:space="preserve">Note.</w:t>
      </w:r>
      <w:r>
        <w:t xml:space="preserve"> </w:t>
      </w:r>
      <w:r>
        <w:t xml:space="preserve">“Active at age 17 or later”</w:t>
      </w:r>
      <w:r>
        <w:t xml:space="preserve"> </w:t>
      </w:r>
      <w:r>
        <w:t xml:space="preserve">indicates an active season (≥2 registered results in a calendar year) at age 17 or later;</w:t>
      </w:r>
      <w:r>
        <w:t xml:space="preserve"> </w:t>
      </w:r>
      <w:r>
        <w:t xml:space="preserve">“Ever active at age 20+”</w:t>
      </w:r>
      <w:r>
        <w:t xml:space="preserve"> </w:t>
      </w:r>
      <w:r>
        <w:t xml:space="preserve">is the outcome prevalence (≥2 results in any calendar year at age 20 or later). Tyrving points = the Norwegian Athletics Federation’s age-norm score, where 1,000 corresponds to the published reference performance for that event × sex × age combination; all baseline events scored with implement- and hurdle-specific norms (Supplementary Methods S-M3).</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0.76</w:t>
            </w:r>
          </w:p>
        </w:tc>
        <w:tc>
          <w:tcPr/>
          <w:p>
            <w:pPr>
              <w:pStyle w:val="Compact"/>
            </w:pPr>
            <w:r>
              <w:t xml:space="preserve">[0.60, 0.95]</w:t>
            </w:r>
          </w:p>
        </w:tc>
        <w:tc>
          <w:tcPr/>
          <w:p>
            <w:pPr>
              <w:pStyle w:val="Compact"/>
            </w:pPr>
            <w:r>
              <w:t xml:space="preserve">.019</w:t>
            </w:r>
          </w:p>
        </w:tc>
        <w:tc>
          <w:tcPr/>
          <w:p>
            <w:pPr>
              <w:pStyle w:val="Compact"/>
            </w:pPr>
            <w:r>
              <w:t xml:space="preserve">0.535 [0.506, 0.564]</w:t>
            </w:r>
          </w:p>
        </w:tc>
        <w:tc>
          <w:tcPr/>
          <w:p>
            <w:pPr>
              <w:pStyle w:val="Compact"/>
            </w:pPr>
            <w:r>
              <w:t xml:space="preserve">2,095</w:t>
            </w:r>
          </w:p>
        </w:tc>
      </w:tr>
      <w:tr>
        <w:tc>
          <w:tcPr/>
          <w:p>
            <w:pPr>
              <w:pStyle w:val="Compact"/>
            </w:pPr>
            <w:r>
              <w:t xml:space="preserve">L2: + Performance</w:t>
            </w:r>
          </w:p>
        </w:tc>
        <w:tc>
          <w:tcPr/>
          <w:p>
            <w:pPr>
              <w:pStyle w:val="Compact"/>
            </w:pPr>
            <w:r>
              <w:t xml:space="preserve">Female</w:t>
            </w:r>
          </w:p>
        </w:tc>
        <w:tc>
          <w:tcPr/>
          <w:p>
            <w:pPr>
              <w:pStyle w:val="Compact"/>
            </w:pPr>
            <w:r>
              <w:t xml:space="preserve">0.69</w:t>
            </w:r>
          </w:p>
        </w:tc>
        <w:tc>
          <w:tcPr/>
          <w:p>
            <w:pPr>
              <w:pStyle w:val="Compact"/>
            </w:pPr>
            <w:r>
              <w:t xml:space="preserve">[0.54, 0.87]</w:t>
            </w:r>
          </w:p>
        </w:tc>
        <w:tc>
          <w:tcPr/>
          <w:p>
            <w:pPr>
              <w:pStyle w:val="Compact"/>
            </w:pPr>
            <w:r>
              <w:t xml:space="preserve">.002</w:t>
            </w:r>
          </w:p>
        </w:tc>
        <w:tc>
          <w:tcPr/>
          <w:p>
            <w:pPr>
              <w:pStyle w:val="Compact"/>
            </w:pPr>
            <w:r>
              <w:t xml:space="preserve">0.641 [0.609, 0.673]</w:t>
            </w:r>
          </w:p>
        </w:tc>
        <w:tc>
          <w:tcPr/>
          <w:p>
            <w:pPr>
              <w:pStyle w:val="Compact"/>
            </w:pPr>
            <w:r>
              <w:t xml:space="preserve">2,095</w:t>
            </w:r>
          </w:p>
        </w:tc>
      </w:tr>
      <w:tr>
        <w:tc>
          <w:tcPr/>
          <w:p>
            <w:pPr>
              <w:pStyle w:val="Compact"/>
            </w:pPr>
          </w:p>
        </w:tc>
        <w:tc>
          <w:tcPr/>
          <w:p>
            <w:pPr>
              <w:pStyle w:val="Compact"/>
            </w:pPr>
            <w:r>
              <w:t xml:space="preserve">Tyrving (z)</w:t>
            </w:r>
          </w:p>
        </w:tc>
        <w:tc>
          <w:tcPr/>
          <w:p>
            <w:pPr>
              <w:pStyle w:val="Compact"/>
            </w:pPr>
            <w:r>
              <w:t xml:space="preserve">1.61</w:t>
            </w:r>
          </w:p>
        </w:tc>
        <w:tc>
          <w:tcPr/>
          <w:p>
            <w:pPr>
              <w:pStyle w:val="Compact"/>
            </w:pPr>
            <w:r>
              <w:t xml:space="preserve">[1.39, 1.87]</w:t>
            </w:r>
          </w:p>
        </w:tc>
        <w:tc>
          <w:tcPr/>
          <w:p>
            <w:pPr>
              <w:pStyle w:val="Compact"/>
            </w:pPr>
            <w:r>
              <w:t xml:space="preserve">&lt; .001</w:t>
            </w:r>
          </w:p>
        </w:tc>
        <w:tc>
          <w:tcPr/>
          <w:p>
            <w:pPr>
              <w:pStyle w:val="Compact"/>
            </w:pPr>
          </w:p>
        </w:tc>
        <w:tc>
          <w:tcPr/>
          <w:p>
            <w:pPr>
              <w:pStyle w:val="Compact"/>
            </w:pPr>
          </w:p>
        </w:tc>
      </w:tr>
      <w:tr>
        <w:tc>
          <w:tcPr/>
          <w:p>
            <w:pPr>
              <w:pStyle w:val="Compact"/>
            </w:pPr>
            <w:r>
              <w:t xml:space="preserve">L3: + Event concentration</w:t>
            </w:r>
          </w:p>
        </w:tc>
        <w:tc>
          <w:tcPr/>
          <w:p>
            <w:pPr>
              <w:pStyle w:val="Compact"/>
            </w:pPr>
            <w:r>
              <w:t xml:space="preserve">Female</w:t>
            </w:r>
          </w:p>
        </w:tc>
        <w:tc>
          <w:tcPr/>
          <w:p>
            <w:pPr>
              <w:pStyle w:val="Compact"/>
            </w:pPr>
            <w:r>
              <w:t xml:space="preserve">0.69</w:t>
            </w:r>
          </w:p>
        </w:tc>
        <w:tc>
          <w:tcPr/>
          <w:p>
            <w:pPr>
              <w:pStyle w:val="Compact"/>
            </w:pPr>
            <w:r>
              <w:t xml:space="preserve">[0.54, 0.87]</w:t>
            </w:r>
          </w:p>
        </w:tc>
        <w:tc>
          <w:tcPr/>
          <w:p>
            <w:pPr>
              <w:pStyle w:val="Compact"/>
            </w:pPr>
            <w:r>
              <w:t xml:space="preserve">.002</w:t>
            </w:r>
          </w:p>
        </w:tc>
        <w:tc>
          <w:tcPr/>
          <w:p>
            <w:pPr>
              <w:pStyle w:val="Compact"/>
            </w:pPr>
            <w:r>
              <w:t xml:space="preserve">0.636 [0.602, 0.670]</w:t>
            </w:r>
          </w:p>
        </w:tc>
        <w:tc>
          <w:tcPr/>
          <w:p>
            <w:pPr>
              <w:pStyle w:val="Compact"/>
            </w:pPr>
            <w:r>
              <w:t xml:space="preserve">2,095</w:t>
            </w:r>
          </w:p>
        </w:tc>
      </w:tr>
      <w:tr>
        <w:tc>
          <w:tcPr/>
          <w:p>
            <w:pPr>
              <w:pStyle w:val="Compact"/>
            </w:pPr>
          </w:p>
        </w:tc>
        <w:tc>
          <w:tcPr/>
          <w:p>
            <w:pPr>
              <w:pStyle w:val="Compact"/>
            </w:pPr>
            <w:r>
              <w:t xml:space="preserve">Tyrving (z)</w:t>
            </w:r>
          </w:p>
        </w:tc>
        <w:tc>
          <w:tcPr/>
          <w:p>
            <w:pPr>
              <w:pStyle w:val="Compact"/>
            </w:pPr>
            <w:r>
              <w:t xml:space="preserve">1.64</w:t>
            </w:r>
          </w:p>
        </w:tc>
        <w:tc>
          <w:tcPr/>
          <w:p>
            <w:pPr>
              <w:pStyle w:val="Compact"/>
            </w:pPr>
            <w:r>
              <w:t xml:space="preserve">[1.42, 1.90]</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1.12</w:t>
            </w:r>
          </w:p>
        </w:tc>
        <w:tc>
          <w:tcPr/>
          <w:p>
            <w:pPr>
              <w:pStyle w:val="Compact"/>
            </w:pPr>
            <w:r>
              <w:t xml:space="preserve">[1.00, 1.26]</w:t>
            </w:r>
          </w:p>
        </w:tc>
        <w:tc>
          <w:tcPr/>
          <w:p>
            <w:pPr>
              <w:pStyle w:val="Compact"/>
            </w:pPr>
            <w:r>
              <w:t xml:space="preserve">.054</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0.61</w:t>
            </w:r>
          </w:p>
        </w:tc>
        <w:tc>
          <w:tcPr/>
          <w:p>
            <w:pPr>
              <w:pStyle w:val="Compact"/>
            </w:pPr>
            <w:r>
              <w:t xml:space="preserve">[0.47, 0.79]</w:t>
            </w:r>
          </w:p>
        </w:tc>
        <w:tc>
          <w:tcPr/>
          <w:p>
            <w:pPr>
              <w:pStyle w:val="Compact"/>
            </w:pPr>
            <w:r>
              <w:t xml:space="preserve">&lt; .001</w:t>
            </w:r>
          </w:p>
        </w:tc>
        <w:tc>
          <w:tcPr/>
          <w:p>
            <w:pPr>
              <w:pStyle w:val="Compact"/>
            </w:pPr>
            <w:r>
              <w:rPr>
                <w:b/>
                <w:bCs/>
              </w:rPr>
              <w:t xml:space="preserve">0.746</w:t>
            </w:r>
            <w:r>
              <w:t xml:space="preserve"> </w:t>
            </w:r>
            <w:r>
              <w:t xml:space="preserve">[0.716, 0.776]</w:t>
            </w:r>
          </w:p>
        </w:tc>
        <w:tc>
          <w:tcPr/>
          <w:p>
            <w:pPr>
              <w:pStyle w:val="Compact"/>
            </w:pPr>
            <w:r>
              <w:t xml:space="preserve">2,095</w:t>
            </w:r>
          </w:p>
        </w:tc>
      </w:tr>
      <w:tr>
        <w:tc>
          <w:tcPr/>
          <w:p>
            <w:pPr>
              <w:pStyle w:val="Compact"/>
            </w:pPr>
          </w:p>
        </w:tc>
        <w:tc>
          <w:tcPr/>
          <w:p>
            <w:pPr>
              <w:pStyle w:val="Compact"/>
            </w:pPr>
            <w:r>
              <w:t xml:space="preserve">Tyrving (z)</w:t>
            </w:r>
          </w:p>
        </w:tc>
        <w:tc>
          <w:tcPr/>
          <w:p>
            <w:pPr>
              <w:pStyle w:val="Compact"/>
            </w:pPr>
            <w:r>
              <w:t xml:space="preserve">1.23</w:t>
            </w:r>
          </w:p>
        </w:tc>
        <w:tc>
          <w:tcPr/>
          <w:p>
            <w:pPr>
              <w:pStyle w:val="Compact"/>
            </w:pPr>
            <w:r>
              <w:t xml:space="preserve">[1.06, 1.42]</w:t>
            </w:r>
          </w:p>
        </w:tc>
        <w:tc>
          <w:tcPr/>
          <w:p>
            <w:pPr>
              <w:pStyle w:val="Compact"/>
            </w:pPr>
            <w:r>
              <w:t xml:space="preserve">.006</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1.27</w:t>
            </w:r>
          </w:p>
        </w:tc>
        <w:tc>
          <w:tcPr/>
          <w:p>
            <w:pPr>
              <w:pStyle w:val="Compact"/>
            </w:pPr>
            <w:r>
              <w:t xml:space="preserve">[1.12, 1.44]</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2.25</w:t>
            </w:r>
          </w:p>
        </w:tc>
        <w:tc>
          <w:tcPr/>
          <w:p>
            <w:pPr>
              <w:pStyle w:val="Compact"/>
            </w:pPr>
            <w:r>
              <w:rPr>
                <w:b/>
                <w:bCs/>
              </w:rPr>
              <w:t xml:space="preserve">[1.99, 2.55]</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including HHI (results at ages 13–14). Pre-milestone volume is the sum of distinct meets attended at ages 13 and 14. Continuous covariates are z-standardized so ORs reflect per-SD effects. CV-AUC: mean of fold-level AUCs from stratified 5-fold cross-validation repeated 20 times, with standardization inside the training folds; 95% CI from the corrected resampled t (Supplementary Methods S-M4). Adding volume raised the AUC by 0.110 (95% CI 0.081–0.140; Supplementary Table S27). HHI is associated with retention once volume is entered (mutual adjustment) but does not improve discrimination (see also Discussion 4.6).</w:t>
      </w:r>
    </w:p>
    <w:p>
      <w:r>
        <w:pict>
          <v:rect style="width:0;height:1.5pt" o:hralign="center" o:hrstd="t" o:hr="t"/>
        </w:pict>
      </w:r>
    </w:p>
    <w:bookmarkEnd w:id="68"/>
    <w:bookmarkStart w:id="69" w:name="X54bb78f710ccb0bc337f0df45efa97f675d2c79"/>
    <w:p>
      <w:pPr>
        <w:pStyle w:val="Heading2"/>
      </w:pPr>
      <w:r>
        <w:t xml:space="preserve">Table 4. Level versus within-athlete change: volume at age 14 and change 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0.60</w:t>
            </w:r>
          </w:p>
        </w:tc>
        <w:tc>
          <w:tcPr/>
          <w:p>
            <w:pPr>
              <w:pStyle w:val="Compact"/>
            </w:pPr>
            <w:r>
              <w:t xml:space="preserve">[0.46, 0.77]</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1.21</w:t>
            </w:r>
          </w:p>
        </w:tc>
        <w:tc>
          <w:tcPr/>
          <w:p>
            <w:pPr>
              <w:pStyle w:val="Compact"/>
            </w:pPr>
            <w:r>
              <w:t xml:space="preserve">[1.04, 1.41]</w:t>
            </w:r>
          </w:p>
        </w:tc>
        <w:tc>
          <w:tcPr/>
          <w:p>
            <w:pPr>
              <w:pStyle w:val="Compact"/>
            </w:pPr>
            <w:r>
              <w:t xml:space="preserve">.012</w:t>
            </w:r>
          </w:p>
        </w:tc>
      </w:tr>
      <w:tr>
        <w:tc>
          <w:tcPr/>
          <w:p>
            <w:pPr>
              <w:pStyle w:val="Compact"/>
            </w:pPr>
          </w:p>
        </w:tc>
        <w:tc>
          <w:tcPr/>
          <w:p>
            <w:pPr>
              <w:pStyle w:val="Compact"/>
            </w:pPr>
            <w:r>
              <w:rPr>
                <w:b/>
                <w:bCs/>
              </w:rPr>
              <w:t xml:space="preserve">Volume at age 14 (z)</w:t>
            </w:r>
          </w:p>
        </w:tc>
        <w:tc>
          <w:tcPr/>
          <w:p>
            <w:pPr>
              <w:pStyle w:val="Compact"/>
            </w:pPr>
            <w:r>
              <w:rPr>
                <w:b/>
                <w:bCs/>
              </w:rPr>
              <w:t xml:space="preserve">2.20</w:t>
            </w:r>
          </w:p>
        </w:tc>
        <w:tc>
          <w:tcPr/>
          <w:p>
            <w:pPr>
              <w:pStyle w:val="Compact"/>
            </w:pPr>
            <w:r>
              <w:rPr>
                <w:b/>
                <w:bCs/>
              </w:rPr>
              <w:t xml:space="preserve">[1.94, 2.50]</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0.60</w:t>
            </w:r>
          </w:p>
        </w:tc>
        <w:tc>
          <w:tcPr/>
          <w:p>
            <w:pPr>
              <w:pStyle w:val="Compact"/>
            </w:pPr>
            <w:r>
              <w:t xml:space="preserve">[0.45, 0.79]</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.140</w:t>
            </w:r>
          </w:p>
        </w:tc>
      </w:tr>
      <w:tr>
        <w:tc>
          <w:tcPr/>
          <w:p>
            <w:pPr>
              <w:pStyle w:val="Compact"/>
            </w:pPr>
          </w:p>
        </w:tc>
        <w:tc>
          <w:tcPr/>
          <w:p>
            <w:pPr>
              <w:pStyle w:val="Compact"/>
            </w:pPr>
            <w:r>
              <w:rPr>
                <w:b/>
                <w:bCs/>
              </w:rPr>
              <w:t xml:space="preserve">Volume at age 14 (z)</w:t>
            </w:r>
          </w:p>
        </w:tc>
        <w:tc>
          <w:tcPr/>
          <w:p>
            <w:pPr>
              <w:pStyle w:val="Compact"/>
            </w:pPr>
            <w:r>
              <w:rPr>
                <w:b/>
                <w:bCs/>
              </w:rPr>
              <w:t xml:space="preserve">2.70</w:t>
            </w:r>
          </w:p>
        </w:tc>
        <w:tc>
          <w:tcPr/>
          <w:p>
            <w:pPr>
              <w:pStyle w:val="Compact"/>
            </w:pPr>
            <w:r>
              <w:rPr>
                <w:b/>
                <w:bCs/>
              </w:rPr>
              <w:t xml:space="preserve">[2.33, 3.12]</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2.38</w:t>
            </w:r>
          </w:p>
        </w:tc>
        <w:tc>
          <w:tcPr/>
          <w:p>
            <w:pPr>
              <w:pStyle w:val="Compact"/>
            </w:pPr>
            <w:r>
              <w:rPr>
                <w:b/>
                <w:bCs/>
              </w:rPr>
              <w:t xml:space="preserve">[2.08, 2.73]</w:t>
            </w:r>
          </w:p>
        </w:tc>
        <w:tc>
          <w:tcPr/>
          <w:p>
            <w:pPr>
              <w:pStyle w:val="Compact"/>
            </w:pPr>
            <w:r>
              <w:rPr>
                <w:b/>
                <w:bCs/>
              </w:rPr>
              <w:t xml:space="preserve">&lt; .001</w:t>
            </w:r>
          </w:p>
        </w:tc>
      </w:tr>
    </w:tbl>
    <w:p>
      <w:pPr>
        <w:pStyle w:val="BodyText"/>
      </w:pPr>
      <w:r>
        <w:rPr>
          <w:i/>
          <w:iCs/>
        </w:rPr>
        <w:t xml:space="preserve">Note.</w:t>
      </w:r>
      <w:r>
        <w:t xml:space="preserve"> </w:t>
      </w:r>
      <w:r>
        <w:t xml:space="preserve">Change = volume at 15 minus volume at 14 (positive = increase; mean −2.3, SD 6.5 meets). The OR of 2.38 per SD increase is equivalent to OR = 0.42 [0.37, 0.48] per SD of greater decline (about 6.5 fewer meets), conditional on the level at age 14; per 5 fewer meets, OR = 0.51. Because the model is linear in the logit, it is identical to one with volume at 14 and volume at 15 as separate levels (the per-meet OR for change equals the per-meet OR for volume at 15). Pseudo-R² (McFadden) rose from 0.122 (M1) to 0.229 (M2); CV-AUC 0.735 → 0.823. 26 of the 1,914 athletes active at 14 lack registered sex or a Tyrving score (sample n = 1,888). Both baseline level and within-athlete decline contribute substantially and independently.</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t xml:space="preserve">0.13 [0.11, 0.16]</w:t>
            </w:r>
          </w:p>
        </w:tc>
        <w:tc>
          <w:tcPr/>
          <w:p>
            <w:pPr>
              <w:pStyle w:val="Compact"/>
            </w:pPr>
            <w:r>
              <w:t xml:space="preserve">0.70 [0.62, 0.80]</w:t>
            </w:r>
          </w:p>
        </w:tc>
        <w:tc>
          <w:tcPr/>
          <w:p>
            <w:pPr>
              <w:pStyle w:val="Compact"/>
            </w:pPr>
            <w:r>
              <w:t xml:space="preserve">0.90 [0.74, 1.09]</w:t>
            </w:r>
          </w:p>
        </w:tc>
      </w:tr>
      <w:tr>
        <w:tc>
          <w:tcPr/>
          <w:p>
            <w:pPr>
              <w:pStyle w:val="Compact"/>
            </w:pPr>
            <w:r>
              <w:t xml:space="preserve">Championship types (count)</w:t>
            </w:r>
          </w:p>
        </w:tc>
        <w:tc>
          <w:tcPr/>
          <w:p>
            <w:pPr>
              <w:pStyle w:val="Compact"/>
            </w:pPr>
            <w:r>
              <w:t xml:space="preserve">0.78 [0.72, 0.85]</w:t>
            </w:r>
          </w:p>
        </w:tc>
        <w:tc>
          <w:tcPr/>
          <w:p>
            <w:pPr>
              <w:pStyle w:val="Compact"/>
            </w:pPr>
            <w:r>
              <w:t xml:space="preserve">0.88 [0.77, 1.00]</w:t>
            </w:r>
          </w:p>
        </w:tc>
        <w:tc>
          <w:tcPr/>
          <w:p>
            <w:pPr>
              <w:pStyle w:val="Compact"/>
            </w:pPr>
            <w:r>
              <w:t xml:space="preserve">0.78 [0.61, 0.99]</w:t>
            </w:r>
          </w:p>
        </w:tc>
      </w:tr>
      <w:tr>
        <w:tc>
          <w:tcPr/>
          <w:p>
            <w:pPr>
              <w:pStyle w:val="Compact"/>
            </w:pPr>
            <w:r>
              <w:t xml:space="preserve">Tyrving (z)</w:t>
            </w:r>
          </w:p>
        </w:tc>
        <w:tc>
          <w:tcPr/>
          <w:p>
            <w:pPr>
              <w:pStyle w:val="Compact"/>
            </w:pPr>
            <w:r>
              <w:t xml:space="preserve">0.99 [0.94, 1.05]</w:t>
            </w:r>
          </w:p>
        </w:tc>
        <w:tc>
          <w:tcPr/>
          <w:p>
            <w:pPr>
              <w:pStyle w:val="Compact"/>
            </w:pPr>
            <w:r>
              <w:t xml:space="preserve">0.96 [0.88, 1.06]</w:t>
            </w:r>
          </w:p>
        </w:tc>
        <w:tc>
          <w:tcPr/>
          <w:p>
            <w:pPr>
              <w:pStyle w:val="Compact"/>
            </w:pPr>
            <w:r>
              <w:t xml:space="preserve">1.15 [0.97, 1.36]</w:t>
            </w:r>
          </w:p>
        </w:tc>
      </w:tr>
      <w:tr>
        <w:tc>
          <w:tcPr/>
          <w:p>
            <w:pPr>
              <w:pStyle w:val="Compact"/>
            </w:pPr>
            <w:r>
              <w:t xml:space="preserve">HHI, ages 13–14 (z)</w:t>
            </w:r>
          </w:p>
        </w:tc>
        <w:tc>
          <w:tcPr/>
          <w:p>
            <w:pPr>
              <w:pStyle w:val="Compact"/>
            </w:pPr>
            <w:r>
              <w:t xml:space="preserve">1.02 [0.97, 1.08]</w:t>
            </w:r>
          </w:p>
        </w:tc>
        <w:tc>
          <w:tcPr/>
          <w:p>
            <w:pPr>
              <w:pStyle w:val="Compact"/>
            </w:pPr>
            <w:r>
              <w:t xml:space="preserve">0.89 [0.81, 0.98]</w:t>
            </w:r>
          </w:p>
        </w:tc>
        <w:tc>
          <w:tcPr/>
          <w:p>
            <w:pPr>
              <w:pStyle w:val="Compact"/>
            </w:pPr>
            <w:r>
              <w:t xml:space="preserve">1.01 [0.87, 1.17]</w:t>
            </w:r>
          </w:p>
        </w:tc>
      </w:tr>
      <w:tr>
        <w:tc>
          <w:tcPr/>
          <w:p>
            <w:pPr>
              <w:pStyle w:val="Compact"/>
            </w:pPr>
            <w:r>
              <w:t xml:space="preserve">Female</w:t>
            </w:r>
          </w:p>
        </w:tc>
        <w:tc>
          <w:tcPr/>
          <w:p>
            <w:pPr>
              <w:pStyle w:val="Compact"/>
            </w:pPr>
            <w:r>
              <w:t xml:space="preserve">1.04 [0.93, 1.16]</w:t>
            </w:r>
          </w:p>
        </w:tc>
        <w:tc>
          <w:tcPr/>
          <w:p>
            <w:pPr>
              <w:pStyle w:val="Compact"/>
            </w:pPr>
            <w:r>
              <w:t xml:space="preserve">1.40 [1.16, 1.68]</w:t>
            </w:r>
          </w:p>
        </w:tc>
        <w:tc>
          <w:tcPr/>
          <w:p>
            <w:pPr>
              <w:pStyle w:val="Compact"/>
            </w:pPr>
            <w:r>
              <w:t xml:space="preserve">1.06 [0.78, 1.44]</w:t>
            </w:r>
          </w:p>
        </w:tc>
      </w:tr>
      <w:tr>
        <w:tc>
          <w:tcPr/>
          <w:p>
            <w:pPr>
              <w:pStyle w:val="Compact"/>
            </w:pPr>
            <w:r>
              <w:t xml:space="preserve">n at risk in interval</w:t>
            </w:r>
          </w:p>
        </w:tc>
        <w:tc>
          <w:tcPr/>
          <w:p>
            <w:pPr>
              <w:pStyle w:val="Compact"/>
            </w:pPr>
            <w:r>
              <w:t xml:space="preserve">2,095</w:t>
            </w:r>
          </w:p>
        </w:tc>
        <w:tc>
          <w:tcPr/>
          <w:p>
            <w:pPr>
              <w:pStyle w:val="Compact"/>
            </w:pPr>
            <w:r>
              <w:t xml:space="preserve">812</w:t>
            </w:r>
          </w:p>
        </w:tc>
        <w:tc>
          <w:tcPr/>
          <w:p>
            <w:pPr>
              <w:pStyle w:val="Compact"/>
            </w:pPr>
            <w:r>
              <w:t xml:space="preserve">331</w:t>
            </w:r>
          </w:p>
        </w:tc>
      </w:tr>
      <w:tr>
        <w:tc>
          <w:tcPr/>
          <w:p>
            <w:pPr>
              <w:pStyle w:val="Compact"/>
            </w:pPr>
            <w:r>
              <w:t xml:space="preserve">events in interval</w:t>
            </w:r>
          </w:p>
        </w:tc>
        <w:tc>
          <w:tcPr/>
          <w:p>
            <w:pPr>
              <w:pStyle w:val="Compact"/>
            </w:pPr>
            <w:r>
              <w:t xml:space="preserve">1,283</w:t>
            </w:r>
          </w:p>
        </w:tc>
        <w:tc>
          <w:tcPr/>
          <w:p>
            <w:pPr>
              <w:pStyle w:val="Compact"/>
            </w:pPr>
            <w:r>
              <w:t xml:space="preserve">481</w:t>
            </w:r>
          </w:p>
        </w:tc>
        <w:tc>
          <w:tcPr/>
          <w:p>
            <w:pPr>
              <w:pStyle w:val="Compact"/>
            </w:pPr>
            <w:r>
              <w:t xml:space="preserve">170</w:t>
            </w:r>
          </w:p>
        </w:tc>
      </w:tr>
      <w:tr>
        <w:tc>
          <w:tcPr/>
          <w:p>
            <w:pPr>
              <w:pStyle w:val="Compact"/>
            </w:pPr>
            <w:r>
              <w:t xml:space="preserve">C-index</w:t>
            </w:r>
          </w:p>
        </w:tc>
        <w:tc>
          <w:tcPr/>
          <w:p>
            <w:pPr>
              <w:pStyle w:val="Compact"/>
            </w:pPr>
            <w:r>
              <w:t xml:space="preserve">0.897</w:t>
            </w:r>
          </w:p>
        </w:tc>
        <w:tc>
          <w:tcPr/>
          <w:p>
            <w:pPr>
              <w:pStyle w:val="Compact"/>
            </w:pPr>
            <w:r>
              <w:t xml:space="preserve">0.657</w:t>
            </w:r>
          </w:p>
        </w:tc>
        <w:tc>
          <w:tcPr/>
          <w:p>
            <w:pPr>
              <w:pStyle w:val="Compact"/>
            </w:pPr>
            <w:r>
              <w:t xml:space="preserve">0.581</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 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t xml:space="preserve">9.3</w:t>
            </w:r>
          </w:p>
        </w:tc>
        <w:tc>
          <w:tcPr/>
          <w:p>
            <w:pPr>
              <w:pStyle w:val="Compact"/>
            </w:pPr>
            <w:r>
              <w:t xml:space="preserve">0.10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t xml:space="preserve">7.1% [3.6, 11.3]</w:t>
            </w:r>
          </w:p>
        </w:tc>
        <w:tc>
          <w:tcPr/>
          <w:p>
            <w:pPr>
              <w:pStyle w:val="Compact"/>
            </w:pPr>
            <w:r>
              <w:t xml:space="preserve">17.3% [15.7, 19.1]</w:t>
            </w:r>
          </w:p>
        </w:tc>
      </w:tr>
      <w:tr>
        <w:tc>
          <w:tcPr/>
          <w:p>
            <w:pPr>
              <w:pStyle w:val="Compact"/>
            </w:pPr>
            <w:r>
              <w:t xml:space="preserve">8 meets</w:t>
            </w:r>
          </w:p>
        </w:tc>
        <w:tc>
          <w:tcPr/>
          <w:p>
            <w:pPr>
              <w:pStyle w:val="Compact"/>
            </w:pPr>
            <w:r>
              <w:t xml:space="preserve">19.8</w:t>
            </w:r>
          </w:p>
        </w:tc>
        <w:tc>
          <w:tcPr/>
          <w:p>
            <w:pPr>
              <w:pStyle w:val="Compact"/>
            </w:pPr>
            <w:r>
              <w:t xml:space="preserve">0.22 [0.20, 0.24]</w:t>
            </w:r>
          </w:p>
        </w:tc>
        <w:tc>
          <w:tcPr/>
          <w:p>
            <w:pPr>
              <w:pStyle w:val="Compact"/>
            </w:pPr>
            <w:r>
              <w:t xml:space="preserve">0.93 [0.90, 0.96]</w:t>
            </w:r>
          </w:p>
        </w:tc>
        <w:tc>
          <w:tcPr/>
          <w:p>
            <w:pPr>
              <w:pStyle w:val="Compact"/>
            </w:pPr>
            <w:r>
              <w:rPr>
                <w:b/>
                <w:bCs/>
              </w:rPr>
              <w:t xml:space="preserve">0.94</w:t>
            </w:r>
            <w:r>
              <w:t xml:space="preserve"> </w:t>
            </w:r>
            <w:r>
              <w:t xml:space="preserve">[0.92, 0.96]</w:t>
            </w:r>
          </w:p>
        </w:tc>
        <w:tc>
          <w:tcPr/>
          <w:p>
            <w:pPr>
              <w:pStyle w:val="Compact"/>
            </w:pPr>
            <w:r>
              <w:t xml:space="preserve">0.19 [0.17, 0.21]</w:t>
            </w:r>
          </w:p>
        </w:tc>
        <w:tc>
          <w:tcPr/>
          <w:p>
            <w:pPr>
              <w:pStyle w:val="Compact"/>
            </w:pPr>
            <w:r>
              <w:t xml:space="preserve">5.7% [3.6, 7.9]</w:t>
            </w:r>
          </w:p>
        </w:tc>
        <w:tc>
          <w:tcPr/>
          <w:p>
            <w:pPr>
              <w:pStyle w:val="Compact"/>
            </w:pPr>
            <w:r>
              <w:t xml:space="preserve">19.0% [17.2, 21.0]</w:t>
            </w:r>
          </w:p>
        </w:tc>
      </w:tr>
      <w:tr>
        <w:tc>
          <w:tcPr/>
          <w:p>
            <w:pPr>
              <w:pStyle w:val="Compact"/>
            </w:pPr>
            <w:r>
              <w:t xml:space="preserve">10 meets</w:t>
            </w:r>
          </w:p>
        </w:tc>
        <w:tc>
          <w:tcPr/>
          <w:p>
            <w:pPr>
              <w:pStyle w:val="Compact"/>
            </w:pPr>
            <w:r>
              <w:t xml:space="preserve">26.4</w:t>
            </w:r>
          </w:p>
        </w:tc>
        <w:tc>
          <w:tcPr/>
          <w:p>
            <w:pPr>
              <w:pStyle w:val="Compact"/>
            </w:pPr>
            <w:r>
              <w:t xml:space="preserve">0.30 [0.28, 0.32]</w:t>
            </w:r>
          </w:p>
        </w:tc>
        <w:tc>
          <w:tcPr/>
          <w:p>
            <w:pPr>
              <w:pStyle w:val="Compact"/>
            </w:pPr>
            <w:r>
              <w:t xml:space="preserve">0.91 [0.88, 0.94]</w:t>
            </w:r>
          </w:p>
        </w:tc>
        <w:tc>
          <w:tcPr/>
          <w:p>
            <w:pPr>
              <w:pStyle w:val="Compact"/>
            </w:pPr>
            <w:r>
              <w:rPr>
                <w:b/>
                <w:bCs/>
              </w:rPr>
              <w:t xml:space="preserve">0.94</w:t>
            </w:r>
            <w:r>
              <w:t xml:space="preserve"> </w:t>
            </w:r>
            <w:r>
              <w:t xml:space="preserve">[0.92, 0.96]</w:t>
            </w:r>
          </w:p>
        </w:tc>
        <w:tc>
          <w:tcPr/>
          <w:p>
            <w:pPr>
              <w:pStyle w:val="Compact"/>
            </w:pPr>
            <w:r>
              <w:t xml:space="preserve">0.20 [0.18, 0.22]</w:t>
            </w:r>
          </w:p>
        </w:tc>
        <w:tc>
          <w:tcPr/>
          <w:p>
            <w:pPr>
              <w:pStyle w:val="Compact"/>
            </w:pPr>
            <w:r>
              <w:t xml:space="preserve">5.7% [3.9, 7.7]</w:t>
            </w:r>
          </w:p>
        </w:tc>
        <w:tc>
          <w:tcPr/>
          <w:p>
            <w:pPr>
              <w:pStyle w:val="Compact"/>
            </w:pPr>
            <w:r>
              <w:t xml:space="preserve">20.2% [18.3, 22.2]</w:t>
            </w:r>
          </w:p>
        </w:tc>
      </w:tr>
      <w:tr>
        <w:tc>
          <w:tcPr/>
          <w:p>
            <w:pPr>
              <w:pStyle w:val="Compact"/>
            </w:pPr>
            <w:r>
              <w:t xml:space="preserve">15 meets</w:t>
            </w:r>
          </w:p>
        </w:tc>
        <w:tc>
          <w:tcPr/>
          <w:p>
            <w:pPr>
              <w:pStyle w:val="Compact"/>
            </w:pPr>
            <w:r>
              <w:t xml:space="preserve">43.1</w:t>
            </w:r>
          </w:p>
        </w:tc>
        <w:tc>
          <w:tcPr/>
          <w:p>
            <w:pPr>
              <w:pStyle w:val="Compact"/>
            </w:pPr>
            <w:r>
              <w:t xml:space="preserve">0.48 [0.46, 0.50]</w:t>
            </w:r>
          </w:p>
        </w:tc>
        <w:tc>
          <w:tcPr/>
          <w:p>
            <w:pPr>
              <w:pStyle w:val="Compact"/>
            </w:pPr>
            <w:r>
              <w:t xml:space="preserve">0.82 [0.77, 0.85]</w:t>
            </w:r>
          </w:p>
        </w:tc>
        <w:tc>
          <w:tcPr/>
          <w:p>
            <w:pPr>
              <w:pStyle w:val="Compact"/>
            </w:pPr>
            <w:r>
              <w:rPr>
                <w:b/>
                <w:bCs/>
              </w:rPr>
              <w:t xml:space="preserve">0.93</w:t>
            </w:r>
            <w:r>
              <w:t xml:space="preserve"> </w:t>
            </w:r>
            <w:r>
              <w:t xml:space="preserve">[0.91, 0.95]</w:t>
            </w:r>
          </w:p>
        </w:tc>
        <w:tc>
          <w:tcPr/>
          <w:p>
            <w:pPr>
              <w:pStyle w:val="Compact"/>
            </w:pPr>
            <w:r>
              <w:t xml:space="preserve">0.24 [0.21, 0.26]</w:t>
            </w:r>
          </w:p>
        </w:tc>
        <w:tc>
          <w:tcPr/>
          <w:p>
            <w:pPr>
              <w:pStyle w:val="Compact"/>
            </w:pPr>
            <w:r>
              <w:t xml:space="preserve">7.0% [5.4, 8.7]</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 2,123); brackets are 2,000-replicate bootstrap 95% CIs. PPV is the proportion of flagged athletes who subsequently failed to retain senior activity. The final two columns give the absolute retention contrast: at the &lt; 10 threshold, 5.7% among flagged vs. 20.2% among unflagged athletes (a 3.5-fold difference). The high PPV partly reflects the population’s 84% non-retention base rate (the threshold improves precision by ~10 percentage points over base-rate prediction), and the NPV of ≈ 0.20 means unflagged athletes are not</w:t>
      </w:r>
      <w:r>
        <w:t xml:space="preserve"> </w:t>
      </w:r>
      <w:r>
        <w:t xml:space="preserve">“safe”</w:t>
      </w:r>
      <w:r>
        <w:t xml:space="preserve">: roughly four in five of them also fail to retain. The thresholds are candidate cut-offs chosen in the pooled data; derivation in one birth cohort and validation in the other are reported in Supplementary Table S29. 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 Internal cohort 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t xml:space="preserve">1,286</w:t>
            </w:r>
          </w:p>
        </w:tc>
        <w:tc>
          <w:tcPr/>
          <w:p>
            <w:pPr>
              <w:pStyle w:val="Compact"/>
            </w:pPr>
            <w:r>
              <w:t xml:space="preserve">Female</w:t>
            </w:r>
          </w:p>
        </w:tc>
        <w:tc>
          <w:tcPr/>
          <w:p>
            <w:pPr>
              <w:pStyle w:val="Compact"/>
            </w:pPr>
            <w:r>
              <w:t xml:space="preserve">0.64</w:t>
            </w:r>
          </w:p>
        </w:tc>
        <w:tc>
          <w:tcPr/>
          <w:p>
            <w:pPr>
              <w:pStyle w:val="Compact"/>
            </w:pPr>
            <w:r>
              <w:t xml:space="preserve">[0.47, 0.89]</w:t>
            </w:r>
          </w:p>
        </w:tc>
        <w:tc>
          <w:tcPr/>
          <w:p>
            <w:pPr>
              <w:pStyle w:val="Compact"/>
            </w:pPr>
            <w:r>
              <w:t xml:space="preserve">.008</w:t>
            </w:r>
          </w:p>
        </w:tc>
      </w:tr>
      <w:tr>
        <w:tc>
          <w:tcPr/>
          <w:p>
            <w:pPr>
              <w:pStyle w:val="Compact"/>
            </w:pPr>
          </w:p>
        </w:tc>
        <w:tc>
          <w:tcPr/>
          <w:p>
            <w:pPr>
              <w:pStyle w:val="Compact"/>
            </w:pPr>
          </w:p>
        </w:tc>
        <w:tc>
          <w:tcPr/>
          <w:p>
            <w:pPr>
              <w:pStyle w:val="Compact"/>
            </w:pPr>
            <w:r>
              <w:t xml:space="preserve">Tyrving (z)</w:t>
            </w:r>
          </w:p>
        </w:tc>
        <w:tc>
          <w:tcPr/>
          <w:p>
            <w:pPr>
              <w:pStyle w:val="Compact"/>
            </w:pPr>
            <w:r>
              <w:t xml:space="preserve">1.22</w:t>
            </w:r>
          </w:p>
        </w:tc>
        <w:tc>
          <w:tcPr/>
          <w:p>
            <w:pPr>
              <w:pStyle w:val="Compact"/>
            </w:pPr>
            <w:r>
              <w:t xml:space="preserve">[1.01, 1.48]</w:t>
            </w:r>
          </w:p>
        </w:tc>
        <w:tc>
          <w:tcPr/>
          <w:p>
            <w:pPr>
              <w:pStyle w:val="Compact"/>
            </w:pPr>
            <w:r>
              <w:t xml:space="preserve">.041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1.16</w:t>
            </w:r>
          </w:p>
        </w:tc>
        <w:tc>
          <w:tcPr/>
          <w:p>
            <w:pPr>
              <w:pStyle w:val="Compact"/>
            </w:pPr>
            <w:r>
              <w:t xml:space="preserve">[0.97, 1.37]</w:t>
            </w:r>
          </w:p>
        </w:tc>
        <w:tc>
          <w:tcPr/>
          <w:p>
            <w:pPr>
              <w:pStyle w:val="Compact"/>
            </w:pPr>
            <w:r>
              <w:t xml:space="preserve">.096</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2.22</w:t>
            </w:r>
          </w:p>
        </w:tc>
        <w:tc>
          <w:tcPr/>
          <w:p>
            <w:pPr>
              <w:pStyle w:val="Compact"/>
            </w:pPr>
            <w:r>
              <w:rPr>
                <w:b/>
                <w:bCs/>
              </w:rPr>
              <w:t xml:space="preserve">[1.89, 2.60]</w:t>
            </w:r>
          </w:p>
        </w:tc>
        <w:tc>
          <w:tcPr/>
          <w:p>
            <w:pPr>
              <w:pStyle w:val="Compact"/>
            </w:pPr>
            <w:r>
              <w:rPr>
                <w:b/>
                <w:bCs/>
              </w:rPr>
              <w:t xml:space="preserve">&lt; .001</w:t>
            </w:r>
          </w:p>
        </w:tc>
      </w:tr>
      <w:tr>
        <w:tc>
          <w:tcPr/>
          <w:p>
            <w:pPr>
              <w:pStyle w:val="Compact"/>
            </w:pPr>
            <w:r>
              <w:t xml:space="preserve">2001–2002</w:t>
            </w:r>
          </w:p>
        </w:tc>
        <w:tc>
          <w:tcPr/>
          <w:p>
            <w:pPr>
              <w:pStyle w:val="Compact"/>
            </w:pPr>
            <w:r>
              <w:t xml:space="preserve">809</w:t>
            </w:r>
          </w:p>
        </w:tc>
        <w:tc>
          <w:tcPr/>
          <w:p>
            <w:pPr>
              <w:pStyle w:val="Compact"/>
            </w:pPr>
            <w:r>
              <w:t xml:space="preserve">Female</w:t>
            </w:r>
          </w:p>
        </w:tc>
        <w:tc>
          <w:tcPr/>
          <w:p>
            <w:pPr>
              <w:pStyle w:val="Compact"/>
            </w:pPr>
            <w:r>
              <w:t xml:space="preserve">0.57</w:t>
            </w:r>
          </w:p>
        </w:tc>
        <w:tc>
          <w:tcPr/>
          <w:p>
            <w:pPr>
              <w:pStyle w:val="Compact"/>
            </w:pPr>
            <w:r>
              <w:t xml:space="preserve">[0.38, 0.86]</w:t>
            </w:r>
          </w:p>
        </w:tc>
        <w:tc>
          <w:tcPr/>
          <w:p>
            <w:pPr>
              <w:pStyle w:val="Compact"/>
            </w:pPr>
            <w:r>
              <w:t xml:space="preserve">.007</w:t>
            </w:r>
          </w:p>
        </w:tc>
      </w:tr>
      <w:tr>
        <w:tc>
          <w:tcPr/>
          <w:p>
            <w:pPr>
              <w:pStyle w:val="Compact"/>
            </w:pPr>
          </w:p>
        </w:tc>
        <w:tc>
          <w:tcPr/>
          <w:p>
            <w:pPr>
              <w:pStyle w:val="Compact"/>
            </w:pPr>
          </w:p>
        </w:tc>
        <w:tc>
          <w:tcPr/>
          <w:p>
            <w:pPr>
              <w:pStyle w:val="Compact"/>
            </w:pPr>
            <w:r>
              <w:t xml:space="preserve">Tyrving (z)</w:t>
            </w:r>
          </w:p>
        </w:tc>
        <w:tc>
          <w:tcPr/>
          <w:p>
            <w:pPr>
              <w:pStyle w:val="Compact"/>
            </w:pPr>
            <w:r>
              <w:t xml:space="preserve">1.23</w:t>
            </w:r>
          </w:p>
        </w:tc>
        <w:tc>
          <w:tcPr/>
          <w:p>
            <w:pPr>
              <w:pStyle w:val="Compact"/>
            </w:pPr>
            <w:r>
              <w:t xml:space="preserve">[0.98, 1.54]</w:t>
            </w:r>
          </w:p>
        </w:tc>
        <w:tc>
          <w:tcPr/>
          <w:p>
            <w:pPr>
              <w:pStyle w:val="Compact"/>
            </w:pPr>
            <w:r>
              <w:t xml:space="preserve">.075</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1.44</w:t>
            </w:r>
          </w:p>
        </w:tc>
        <w:tc>
          <w:tcPr/>
          <w:p>
            <w:pPr>
              <w:pStyle w:val="Compact"/>
            </w:pPr>
            <w:r>
              <w:t xml:space="preserve">[1.19, 1.74]</w:t>
            </w:r>
          </w:p>
        </w:tc>
        <w:tc>
          <w:tcPr/>
          <w:p>
            <w:pPr>
              <w:pStyle w:val="Compact"/>
            </w:pPr>
            <w:r>
              <w:t xml:space="preserve">&lt; .001</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2.33</w:t>
            </w:r>
          </w:p>
        </w:tc>
        <w:tc>
          <w:tcPr/>
          <w:p>
            <w:pPr>
              <w:pStyle w:val="Compact"/>
            </w:pPr>
            <w:r>
              <w:rPr>
                <w:b/>
                <w:bCs/>
              </w:rPr>
              <w:t xml:space="preserve">[1.90, 2.87]</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 Both cohorts come from the same register and national system, so this is an internal replication. The pre-milestone volume effect is reproduced at similar magnitude in both cohorts; female sex predicts lower retention in both. The HHI association is clear in the 2001–2002 cohort but not significant in the 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 meaning-in-movement accounts, and the role-exit / withdrawal-as-process tradition (left) are not directly observed, but are predicted to leave a footprint in measurable competition behavior (centre), which precedes the outcome of active senior retention (right). Declining competition volume is a behavioral marker of disengagement, not a measure of it.</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Athletes in the highest stratum retained 71% senior activity at follow-up year 14; athletes in the lowest stratum retained 4%. (Note: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2026-10-01T22:00:03Z</dcterms:created>
  <dcterms:modified xsi:type="dcterms:W3CDTF">2026-10-01T22:00:03Z</dcterms:modified>
</cp:coreProperties>
</file>

<file path=docProps/custom.xml><?xml version="1.0" encoding="utf-8"?>
<Properties xmlns="http://schemas.openxmlformats.org/officeDocument/2006/custom-properties" xmlns:vt="http://schemas.openxmlformats.org/officeDocument/2006/docPropsVTypes"/>
</file>