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w:t>
      </w:r>
      <w:r>
        <w:t xml:space="preserve"> </w:t>
      </w:r>
      <w:r>
        <w:rPr>
          <w:rStyle w:val="Revised"/>
        </w:rPr>
        <w:t xml:space="preserve">2.25</w:t>
      </w:r>
      <w:r>
        <w:t xml:space="preserve"> </w:t>
      </w:r>
      <w:r>
        <w:t xml:space="preserve">per SD, 95% CI</w:t>
      </w:r>
      <w:r>
        <w:t xml:space="preserve"> </w:t>
      </w:r>
      <w:r>
        <w:rPr>
          <w:rStyle w:val="Revised"/>
        </w:rPr>
        <w:t xml:space="preserve">[1.99, 2.55]</w:t>
      </w:r>
      <w:r>
        <w:t xml:space="preserve">; cross-validated AUC =</w:t>
      </w:r>
      <w:r>
        <w:t xml:space="preserve"> </w:t>
      </w:r>
      <w:r>
        <w:rPr>
          <w:rStyle w:val="Revised"/>
        </w:rPr>
        <w:t xml:space="preserve">0.746</w:t>
      </w:r>
      <w:r>
        <w:t xml:space="preserve">; calibration slope</w:t>
      </w:r>
      <w:r>
        <w:t xml:space="preserve"> </w:t>
      </w:r>
      <w:r>
        <w:rPr>
          <w:rStyle w:val="Revised"/>
        </w:rPr>
        <w:t xml:space="preserve">0.98</w:t>
      </w:r>
      <w:r>
        <w:t xml:space="preserve">),</w:t>
      </w:r>
      <w:r>
        <w:t xml:space="preserve"> </w:t>
      </w:r>
      <w:r>
        <w:rPr>
          <w:rStyle w:val="Revised"/>
        </w:rPr>
        <w:t xml:space="preserve">discriminated retention better than</w:t>
      </w:r>
      <w:r>
        <w:t xml:space="preserve"> </w:t>
      </w:r>
      <w:r>
        <w:t xml:space="preserve">age-normed performance measured in the same window,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24% less one season before their final season, and among athletes still active at 16, declining volume across ages 15–16 predicted lower senior retention (OR = 0.53 per SD of decline). Higher within-sport event concentration was modestly associated with higher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 26% of athletes whose senior retention is 6%, versus 20% among the unflagged</w:t>
      </w:r>
      <w:r>
        <w:t xml:space="preserve"> </w:t>
      </w:r>
      <w:r>
        <w:rPr>
          <w:rStyle w:val="Revised"/>
        </w:rPr>
        <w:t xml:space="preserve">(similar when derived in one birth cohort and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w:t>
      </w:r>
      <w:r>
        <w:rPr>
          <w:rStyle w:val="Revised"/>
        </w:rPr>
        <w:t xml:space="preserve">: declining competition participation is treated as a behavioral marker of disengagement, not as disengagement itself</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w:t>
      </w:r>
      <w:r>
        <w:t xml:space="preserve"> </w:t>
      </w:r>
      <w:r>
        <w:rPr>
          <w:rStyle w:val="Revised"/>
        </w:rPr>
        <w:t xml:space="preserve">no registered</w:t>
      </w:r>
      <w:r>
        <w:t xml:space="preserve"> </w:t>
      </w:r>
      <w:r>
        <w:t xml:space="preserve">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r>
        <w:t xml:space="preserve"> </w:t>
      </w:r>
      <w:r>
        <w:t xml:space="preserve">Categories co-occur unevenly (sprints and hurdles share training demands; throws transfer little); the HHI treats them symmetrically (see the limitations).</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84 athletes registered without birth date</w:t>
      </w:r>
      <w:r>
        <w:t xml:space="preserve">), baseline region (eastern, mid, or western Norway, by venue), and club size in the baseline year (registered athletes in the same club).</w:t>
      </w:r>
      <w:r>
        <w:t xml:space="preserve"> </w:t>
      </w:r>
      <w:r>
        <w:rPr>
          <w:rStyle w:val="Revised"/>
        </w:rPr>
        <w:t xml:space="preserve">The 24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to characterize each variable class’s unique contribution.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 active at age 14 (1,914; complete-case model n =</w:t>
      </w:r>
      <w:r>
        <w:t xml:space="preserve"> </w:t>
      </w:r>
      <w:r>
        <w:rPr>
          <w:rStyle w:val="Revised"/>
        </w:rPr>
        <w:t xml:space="preserve">1,888</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with age fixed effects and indicators for the final active season and the three preceding seasons, which estimates each athlete’s decline relative to their own earlier volume (Supplementary Methods S-M6)</w:t>
      </w:r>
      <w:r>
        <w:t xml:space="preserve">. Prospective early-warning thresholds on pre-milestone volume (classification performance at candidate cut-offs 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active at age 16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≥1.20 per SD (Supplementary Table S4), below typical effects in prior dropout research.</w:t>
      </w:r>
      <w:r>
        <w:rPr>
          <w:rStyle w:val="Revised"/>
          <w:vertAlign w:val="superscript"/>
        </w:rPr>
        <w:t xml:space="preserve">23</w:t>
      </w:r>
      <w:r>
        <w:t xml:space="preserve"> </w:t>
      </w:r>
      <w:r>
        <w:rPr>
          <w:rStyle w:val="Revised"/>
        </w:rPr>
        <w:t xml:space="preserve">Baseline Tyrving was missing for 28 athletes (1.3%; 24 without registered sex); other variables were complete. The primary analysis is complete-case (n = 2,095), with multiple imputation (m = 20; Supplementary Methods S-M3), mean imputation, and club-clustered standard errors as sensitivity analyses (Supplementary Tables S21, S5, S2; sample flow: Supplementary Table S12).</w:t>
      </w:r>
      <w:r>
        <w:t xml:space="preserve"> </w:t>
      </w:r>
      <w:r>
        <w:t xml:space="preserve">Club-level confounding was probed via the intraclass correlation of volume across baseline clubs 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w:t>
      </w:r>
      <w:r>
        <w:t xml:space="preserve"> </w:t>
      </w:r>
      <w:r>
        <w:rPr>
          <w:rStyle w:val="Revised"/>
        </w:rPr>
        <w:t xml:space="preserve">712 and 715</w:t>
      </w:r>
      <w:r>
        <w:t xml:space="preserve"> </w:t>
      </w:r>
      <w:r>
        <w:t xml:space="preserve">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r>
        <w:t xml:space="preserve"> </w:t>
      </w:r>
      <w:r>
        <w:rPr>
          <w:rStyle w:val="Revised"/>
        </w:rPr>
        <w:t xml:space="preserve">Of all 7,327 register athletes born 1998–2002 with a result at ages 13–14, the cohort is 29%, but it contains 78% of those with ten or more meets at those ages and 77% of all who later competed as seniors; the others had a median of 2 meets and 2.0%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w:t>
      </w:r>
      <w:r>
        <w:t xml:space="preserve"> </w:t>
      </w:r>
      <w:r>
        <w:rPr>
          <w:rStyle w:val="Revised"/>
        </w:rPr>
        <w:t xml:space="preserve">decline</w:t>
      </w:r>
      <w:r>
        <w:t xml:space="preserve"> </w:t>
      </w:r>
      <w:r>
        <w:t xml:space="preserve">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w:t>
      </w:r>
      <w:r>
        <w:t xml:space="preserve"> </w:t>
      </w:r>
      <w:r>
        <w:rPr>
          <w:i/>
          <w:iCs/>
        </w:rPr>
        <w:t xml:space="preserve">p</w:t>
      </w:r>
      <w:r>
        <w:t xml:space="preserve"> </w:t>
      </w:r>
      <w:r>
        <w:t xml:space="preserve">= .33).</w:t>
      </w:r>
      <w:r>
        <w:t xml:space="preserve"> </w:t>
      </w:r>
      <w:r>
        <w:rPr>
          <w:rStyle w:val="Revised"/>
        </w:rPr>
        <w:t xml:space="preserve">Descriptively, curves by ages-15–16 volume separate monotonically (71% senior retention with ≥31 meets vs. 4%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w:t>
      </w:r>
      <w:r>
        <w:rPr>
          <w:b/>
          <w:bCs/>
        </w:rPr>
        <w:t xml:space="preserve"> </w:t>
      </w:r>
      <w:r>
        <w:rPr>
          <w:rStyle w:val="Revised"/>
          <w:b/>
          <w:bCs/>
        </w:rPr>
        <w:t xml:space="preserve">2.25</w:t>
      </w:r>
      <w:r>
        <w:rPr>
          <w:b/>
          <w:bCs/>
        </w:rPr>
        <w:t xml:space="preserve"> </w:t>
      </w:r>
      <w:r>
        <w:rPr>
          <w:b/>
          <w:bCs/>
        </w:rPr>
        <w:t xml:space="preserve">per SD (95% CI</w:t>
      </w:r>
      <w:r>
        <w:rPr>
          <w:b/>
          <w:bCs/>
        </w:rPr>
        <w:t xml:space="preserve"> </w:t>
      </w:r>
      <w:r>
        <w:rPr>
          <w:rStyle w:val="Revised"/>
          <w:b/>
          <w:bCs/>
        </w:rPr>
        <w:t xml:space="preserve">[1.99, 2.55]</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0.746 (95% CI 0.716–0.776)</w:t>
      </w:r>
      <w:r>
        <w:rPr>
          <w:b/>
          <w:bCs/>
        </w:rPr>
        <w:t xml:space="preserve">.</w:t>
      </w:r>
      <w:r>
        <w:t xml:space="preserve"> </w:t>
      </w:r>
      <w:r>
        <w:rPr>
          <w:rStyle w:val="Revised"/>
        </w:rPr>
        <w:t xml:space="preserve">In the stepwise models (Table 3), CV-AUC was 0.535 (sex), 0.641 (+ Tyrving), 0.636 (+ HHI), and 0.746 (+ volume; increase 0.110, 95% CI 0.081–0.140; Supplementary Table S27)</w:t>
      </w:r>
      <w:r>
        <w:t xml:space="preserve">, with well-calibrated predictions (calibration slope</w:t>
      </w:r>
      <w:r>
        <w:t xml:space="preserve"> </w:t>
      </w:r>
      <w:r>
        <w:rPr>
          <w:rStyle w:val="Revised"/>
        </w:rPr>
        <w:t xml:space="preserve">0.98, calibration-in-the-large 0.00, Brier 0.120</w:t>
      </w:r>
      <w:r>
        <w:t xml:space="preserve">; Supplementary Table S23).</w:t>
      </w:r>
      <w:r>
        <w:t xml:space="preserve"> </w:t>
      </w:r>
      <w:r>
        <w:rPr>
          <w:rStyle w:val="Revised"/>
        </w:rPr>
        <w:t xml:space="preserve">In the full model, baseline performance (OR = 1.23 per SD, 95% CI [1.06, 1.42]) and HHI (OR = 1.27 per SD, 95% CI [1.12, 1.44]) retained smaller associations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2.26 vs. 2.25)</w:t>
      </w:r>
      <w:r>
        <w:t xml:space="preserve">; no structural covariate was significant (</w:t>
      </w:r>
      <w:r>
        <w:rPr>
          <w:i/>
          <w:iCs/>
        </w:rPr>
        <w:t xml:space="preserve">p</w:t>
      </w:r>
      <w:r>
        <w:t xml:space="preserve"> </w:t>
      </w:r>
      <w:r>
        <w:t xml:space="preserve">&gt;</w:t>
      </w:r>
      <w:r>
        <w:t xml:space="preserve"> </w:t>
      </w:r>
      <w:r>
        <w:rPr>
          <w:rStyle w:val="Revised"/>
        </w:rPr>
        <w:t xml:space="preserve">.17</w:t>
      </w:r>
      <w:r>
        <w:t xml:space="preserve">; Supplementary Table S13</w:t>
      </w:r>
      <w:r>
        <w:rPr>
          <w:rStyle w:val="Revised"/>
        </w:rPr>
        <w:t xml:space="preserve">; full quarter coding: χ²(3) = 3.24, p = .36</w:t>
      </w:r>
      <w:r>
        <w:t xml:space="preserve">). A quarter of volume variance lies between clubs (ICC =</w:t>
      </w:r>
      <w:r>
        <w:t xml:space="preserve"> </w:t>
      </w:r>
      <w:r>
        <w:rPr>
          <w:rStyle w:val="Revised"/>
        </w:rPr>
        <w:t xml:space="preserve">0.24, 287</w:t>
      </w:r>
      <w:r>
        <w:t xml:space="preserve"> </w:t>
      </w:r>
      <w:r>
        <w:t xml:space="preserve">clubs), but with club random intercepts the coefficient was, if anything, larger (OR =</w:t>
      </w:r>
      <w:r>
        <w:t xml:space="preserve"> </w:t>
      </w:r>
      <w:r>
        <w:rPr>
          <w:rStyle w:val="Revised"/>
        </w:rPr>
        <w:t xml:space="preserve">2.43</w:t>
      </w:r>
      <w:r>
        <w:t xml:space="preserve">, 95% CI</w:t>
      </w:r>
      <w:r>
        <w:t xml:space="preserve"> </w:t>
      </w:r>
      <w:r>
        <w:rPr>
          <w:rStyle w:val="Revised"/>
        </w:rPr>
        <w:t xml:space="preserve">[2.17, 2.72]</w:t>
      </w:r>
      <w:r>
        <w:t xml:space="preserve">; Supplementary Table S22)</w:t>
      </w:r>
      <w:r>
        <w:rPr>
          <w:rStyle w:val="Revised"/>
        </w:rPr>
        <w:t xml:space="preserve">, and folds grouped by club gave the same cross-validated AUC (0.746 [0.709, 0.783];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 active at age 14 (1,914; complete-case model n =</w:t>
      </w:r>
      <w:r>
        <w:t xml:space="preserve"> </w:t>
      </w:r>
      <w:r>
        <w:rPr>
          <w:rStyle w:val="Revised"/>
        </w:rPr>
        <w:t xml:space="preserve">1,888</w:t>
      </w:r>
      <w:r>
        <w:t xml:space="preserve">), the age-14 volume level (OR =</w:t>
      </w:r>
      <w:r>
        <w:t xml:space="preserve"> </w:t>
      </w:r>
      <w:r>
        <w:rPr>
          <w:rStyle w:val="Revised"/>
        </w:rPr>
        <w:t xml:space="preserve">2.70</w:t>
      </w:r>
      <w:r>
        <w:t xml:space="preserve"> </w:t>
      </w:r>
      <w:r>
        <w:t xml:space="preserve">per SD, 95% CI</w:t>
      </w:r>
      <w:r>
        <w:t xml:space="preserve"> </w:t>
      </w:r>
      <w:r>
        <w:rPr>
          <w:rStyle w:val="Revised"/>
        </w:rPr>
        <w:t xml:space="preserve">[2.33, 3.12]</w:t>
      </w:r>
      <w:r>
        <w:t xml:space="preserve">) and the change from age 14 to 15 (OR =</w:t>
      </w:r>
      <w:r>
        <w:t xml:space="preserve"> </w:t>
      </w:r>
      <w:r>
        <w:rPr>
          <w:rStyle w:val="Revised"/>
        </w:rPr>
        <w:t xml:space="preserve">2.38 per SD increase</w:t>
      </w:r>
      <w:r>
        <w:t xml:space="preserve">, 95% CI</w:t>
      </w:r>
      <w:r>
        <w:t xml:space="preserve"> </w:t>
      </w:r>
      <w:r>
        <w:rPr>
          <w:rStyle w:val="Revised"/>
        </w:rPr>
        <w:t xml:space="preserve">[2.08, 2.73]; i.e., OR = 0.42 per SD, about 6.5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0.122 to 0.229</w:t>
      </w:r>
      <w:r>
        <w:t xml:space="preserve"> </w:t>
      </w:r>
      <w:r>
        <w:t xml:space="preserve">(Table 4).</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 1,075), volume at 15 (OR = 3.04, 95% CI [2.55, 3.62]) and change from 15 to 16 (OR = 1.88</w:t>
      </w:r>
      <w:r>
        <w:t xml:space="preserve"> </w:t>
      </w:r>
      <w:r>
        <w:rPr>
          <w:rStyle w:val="Revised"/>
        </w:rPr>
        <w:t xml:space="preserve">per SD increase</w:t>
      </w:r>
      <w:r>
        <w:t xml:space="preserve">, 95% CI [1.60, 2.20][; 0.53 per SD of decline]; both</w:t>
      </w:r>
      <w:r>
        <w:t xml:space="preserve"> </w:t>
      </w:r>
      <w:r>
        <w:rPr>
          <w:i/>
          <w:iCs/>
        </w:rPr>
        <w:t xml:space="preserve">p</w:t>
      </w:r>
      <w:r>
        <w:t xml:space="preserve"> </w:t>
      </w:r>
      <w:r>
        <w:t xml:space="preserve">&lt; .001) predicted senior status four or more years later (CV-AUC =</w:t>
      </w:r>
      <w:r>
        <w:t xml:space="preserve"> </w:t>
      </w:r>
      <w:r>
        <w:rPr>
          <w:rStyle w:val="Revised"/>
        </w:rPr>
        <w:t xml:space="preserve">0.761</w:t>
      </w:r>
      <w:r>
        <w:t xml:space="preserve">):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w:t>
      </w:r>
      <w:r>
        <w:rPr>
          <w:rStyle w:val="Revised"/>
        </w:rPr>
        <w:t xml:space="preserve">; 95% were still competing in their penultimate season, and among final seasons at 16+ (n = 795),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19% exited from peak volume (Supplementary Table S19)</w:t>
      </w:r>
      <w:r>
        <w:t xml:space="preserve">.</w:t>
      </w:r>
    </w:p>
    <w:p>
      <w:pPr>
        <w:pStyle w:val="BodyText"/>
      </w:pPr>
      <w:r>
        <w:rPr>
          <w:rStyle w:val="Revised"/>
        </w:rPr>
        <w:t xml:space="preserve">Fourth, the athlete fixed-effects model (1,897 athletes; Supplementary Table S28, Supplementary Figure S5) placed volume 7% (95% CI 0–13%), 12% (5–19%), and 24%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w:t>
      </w:r>
      <w:r>
        <w:t xml:space="preserve"> </w:t>
      </w:r>
      <w:r>
        <w:rPr>
          <w:rStyle w:val="Revised"/>
        </w:rPr>
        <w:t xml:space="preserve">volume discriminated better: CV-AUC = 0.641 for sex + baseline Tyrving and 0.739 for sex + volume (difference 0.098, 95% CI 0.063–0.133), and adding Tyrving to volume changed nothing (difference −0.002 [−0.011, 0.007]; Supplementary Table S27). A within-baseline performance trajectory (Tyrving change from 13 to 14) raised performance-based discrimination to 0.701 (n = 1,692), narrowing but not reversing the gap (volume 0.734; difference 0.033 [−0.003, 0.069]).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.38</w:t>
      </w:r>
      <w:r>
        <w:t xml:space="preserve"> </w:t>
      </w:r>
      <w:r>
        <w:t xml:space="preserve">with baseline Tyrving;</w:t>
      </w:r>
      <w:r>
        <w:t xml:space="preserve"> </w:t>
      </w:r>
      <w:r>
        <w:rPr>
          <w:rStyle w:val="Revised"/>
        </w:rPr>
        <w:t xml:space="preserve">.55</w:t>
      </w:r>
      <w:r>
        <w:t xml:space="preserve"> </w:t>
      </w:r>
      <w:r>
        <w:t xml:space="preserve">with pre-15 peak;</w:t>
      </w:r>
      <w:r>
        <w:t xml:space="preserve"> </w:t>
      </w:r>
      <w:r>
        <w:rPr>
          <w:rStyle w:val="Revised"/>
        </w:rPr>
        <w:t xml:space="preserve">.60</w:t>
      </w:r>
      <w:r>
        <w:t xml:space="preserve"> </w:t>
      </w:r>
      <w:r>
        <w:t xml:space="preserve">for milestone volume vs. age-15 Tyrving),</w:t>
      </w:r>
      <w:r>
        <w:t xml:space="preserve"> </w:t>
      </w:r>
      <w:r>
        <w:rPr>
          <w:rStyle w:val="Revised"/>
        </w:rPr>
        <w:t xml:space="preserve">but above-median volume was associated with higher senior retention within every baseline-Tyrving quartile, from 15.4% vs. 9.5% in the lowest to 36.0% vs. 13.9%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w:t>
      </w:r>
      <w:r>
        <w:t xml:space="preserve"> </w:t>
      </w:r>
      <w:r>
        <w:rPr>
          <w:rStyle w:val="Revised"/>
        </w:rPr>
        <w:t xml:space="preserve">0.60</w:t>
      </w:r>
      <w:r>
        <w:t xml:space="preserve"> </w:t>
      </w:r>
      <w:r>
        <w:t xml:space="preserve">per SD, 95% CI</w:t>
      </w:r>
      <w:r>
        <w:t xml:space="preserve"> </w:t>
      </w:r>
      <w:r>
        <w:rPr>
          <w:rStyle w:val="Revised"/>
        </w:rPr>
        <w:t xml:space="preserve">[0.55, 0.66]</w:t>
      </w:r>
      <w:r>
        <w:t xml:space="preserve">, C-index = 0.735; complete-case n =</w:t>
      </w:r>
      <w:r>
        <w:t xml:space="preserve"> </w:t>
      </w:r>
      <w:r>
        <w:rPr>
          <w:rStyle w:val="Revised"/>
        </w:rPr>
        <w:t xml:space="preserve">1,153</w:t>
      </w:r>
      <w:r>
        <w:t xml:space="preserve">; Supplementary Table S8); excluding athletes with milestone volume = 0 gave HR =</w:t>
      </w:r>
      <w:r>
        <w:t xml:space="preserve"> </w:t>
      </w:r>
      <w:r>
        <w:rPr>
          <w:rStyle w:val="Revised"/>
        </w:rPr>
        <w:t xml:space="preserve">0.52</w:t>
      </w:r>
      <w:r>
        <w:t xml:space="preserve"> </w:t>
      </w:r>
      <w:r>
        <w:t xml:space="preserve">(Supplementary Table S11).</w:t>
      </w:r>
      <w:r>
        <w:t xml:space="preserve"> </w:t>
      </w:r>
      <w:r>
        <w:rPr>
          <w:rStyle w:val="Revised"/>
        </w:rPr>
        <w:t xml:space="preserve">The baseline-only Cox model (Supplementary Table S16), a period-specific decomposition (Table 5), and diagnostics (Supplementary Tables S1, S6, S10, S17; Supplementary Figures S1, S4) are descriptive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w:t>
      </w:r>
      <w:r>
        <w:t xml:space="preserve"> </w:t>
      </w:r>
      <w:r>
        <w:rPr>
          <w:rStyle w:val="Revised"/>
        </w:rPr>
        <w:t xml:space="preserve">candidate</w:t>
      </w:r>
      <w:r>
        <w:t xml:space="preserve"> </w:t>
      </w:r>
      <w:r>
        <w:t xml:space="preserve">threshold (vol &lt; 10 meets across ages 13–14, flagging 26.4%), senior retention was 5.7% among flagged athletes versus 20.2% among unflagged, a 3.5-fold difference in retention prospects (PPV = 0.94, sensitivity = 0.30); lower (&lt; 5) and higher (&lt; 15) thresholds narrow or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in Cohort A is exactly &lt; 10 meets, which in Cohort B flagged 24.8%, with retention 4.9% versus 21.4% (PPV = 0.95), and the reverse direction was similar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w:t>
      </w:r>
      <w:r>
        <w:t xml:space="preserve"> </w:t>
      </w:r>
      <w:r>
        <w:t xml:space="preserve">higher senior retention: OR =</w:t>
      </w:r>
      <w:r>
        <w:t xml:space="preserve"> </w:t>
      </w:r>
      <w:r>
        <w:rPr>
          <w:rStyle w:val="Revised"/>
        </w:rPr>
        <w:t xml:space="preserve">1.27</w:t>
      </w:r>
      <w:r>
        <w:t xml:space="preserve"> </w:t>
      </w:r>
      <w:r>
        <w:t xml:space="preserve">per SD (95% CI</w:t>
      </w:r>
      <w:r>
        <w:t xml:space="preserve"> </w:t>
      </w:r>
      <w:r>
        <w:rPr>
          <w:rStyle w:val="Revised"/>
        </w:rPr>
        <w:t xml:space="preserve">[1.12, 1.44]</w:t>
      </w:r>
      <w:r>
        <w:t xml:space="preserve">,</w:t>
      </w:r>
      <w:r>
        <w:t xml:space="preserve"> </w:t>
      </w:r>
      <w:r>
        <w:rPr>
          <w:i/>
          <w:iCs/>
        </w:rPr>
        <w:t xml:space="preserve">p</w:t>
      </w:r>
      <w:r>
        <w:t xml:space="preserve"> </w:t>
      </w:r>
      <w:r>
        <w:t xml:space="preserve">&lt; .001) in the primary regression</w:t>
      </w:r>
      <w:r>
        <w:t xml:space="preserve"> </w:t>
      </w:r>
      <w:r>
        <w:rPr>
          <w:rStyle w:val="Revised"/>
        </w:rPr>
        <w:t xml:space="preserve">and HR = 0.89 [0.85, 0.94] in the baseline-only Cox model, but the association was modest: clear in Cohort B (OR = 1.44), not significant in Cohort A (OR = 1.16, 95% CI [0.97, 1.37]), and without gain in discrimination (ΔAUC = −0.005 [−0.017, 0.008])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1.26, 1.24)</w:t>
      </w:r>
      <w:r>
        <w:t xml:space="preserve"> </w:t>
      </w:r>
      <w:r>
        <w:t xml:space="preserve">and a finite-sample-corrected index (OR =</w:t>
      </w:r>
      <w:r>
        <w:t xml:space="preserve"> </w:t>
      </w:r>
      <w:r>
        <w:rPr>
          <w:rStyle w:val="Revised"/>
        </w:rPr>
        <w:t xml:space="preserve">1.29</w:t>
      </w:r>
      <w:r>
        <w:t xml:space="preserve">, 95% CI</w:t>
      </w:r>
      <w:r>
        <w:t xml:space="preserve"> </w:t>
      </w:r>
      <w:r>
        <w:rPr>
          <w:rStyle w:val="Revised"/>
        </w:rPr>
        <w:t xml:space="preserve">[1.14, 1.46]</w:t>
      </w:r>
      <w:r>
        <w:t xml:space="preserve">; Supplementary Table S20)</w:t>
      </w:r>
      <w:r>
        <w:rPr>
          <w:rStyle w:val="Revised"/>
        </w:rPr>
        <w:t xml:space="preserve">: it is not a small-count artifact.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2.22</w:t>
      </w:r>
      <w:r>
        <w:t xml:space="preserve"> </w:t>
      </w:r>
      <w:r>
        <w:t xml:space="preserve">(95% CI</w:t>
      </w:r>
      <w:r>
        <w:t xml:space="preserve"> </w:t>
      </w:r>
      <w:r>
        <w:rPr>
          <w:rStyle w:val="Revised"/>
        </w:rPr>
        <w:t xml:space="preserve">[1.89, 2.60]</w:t>
      </w:r>
      <w:r>
        <w:t xml:space="preserve">), Cohort B OR =</w:t>
      </w:r>
      <w:r>
        <w:t xml:space="preserve"> </w:t>
      </w:r>
      <w:r>
        <w:rPr>
          <w:rStyle w:val="Revised"/>
        </w:rPr>
        <w:t xml:space="preserve">2.33</w:t>
      </w:r>
      <w:r>
        <w:t xml:space="preserve"> </w:t>
      </w:r>
      <w:r>
        <w:t xml:space="preserve">(95% CI</w:t>
      </w:r>
      <w:r>
        <w:t xml:space="preserve"> </w:t>
      </w:r>
      <w:r>
        <w:rPr>
          <w:rStyle w:val="Revised"/>
        </w:rPr>
        <w:t xml:space="preserve">[1.90, 2.87]</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2.16, 2.25, 2.08</w:t>
      </w:r>
      <w:r>
        <w:t xml:space="preserve"> </w:t>
      </w:r>
      <w:r>
        <w:t xml:space="preserve">across the three definitions; Supplementary Table S9), to the fixed-window outcome (ages 20–22: OR =</w:t>
      </w:r>
      <w:r>
        <w:t xml:space="preserve"> </w:t>
      </w:r>
      <w:r>
        <w:rPr>
          <w:rStyle w:val="Revised"/>
        </w:rPr>
        <w:t xml:space="preserve">2.28</w:t>
      </w:r>
      <w:r>
        <w:t xml:space="preserve">; Supplementary Table S24), to multiple imputation (Supplementary Table S21),</w:t>
      </w:r>
      <w:r>
        <w:t xml:space="preserve"> </w:t>
      </w:r>
      <w:r>
        <w:rPr>
          <w:rStyle w:val="Revised"/>
        </w:rPr>
        <w:t xml:space="preserve">to treating temporary gaps as exits (Cox HR 0.54, 0.51, 0.50; Supplementary Table S30; only 4.4% of athletes who missed two consecutive seasons ever returned),</w:t>
      </w:r>
      <w:r>
        <w:t xml:space="preserve"> </w:t>
      </w:r>
      <w:r>
        <w:t xml:space="preserve">and to cluster-robust standard errors (Supplementary Table S2).</w:t>
      </w:r>
      <w:r>
        <w:t xml:space="preserve"> </w:t>
      </w:r>
      <w:r>
        <w:rPr>
          <w:rStyle w:val="Revised"/>
        </w:rPr>
        <w:t xml:space="preserve">For unmeasured confounding, the E-value is 2.4 (odds ratio converted to a risk ratio of ≈1.50 for this common outcome; baseline-only Cox: 2.4; Supplementary Table S3): a confounder would need risk-ratio associations of ≈2.4 with both early volume and retention, stronger than any measured covariate, to explain the association away.</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 Exit-aligned trajectories showed most dropouts tapering (median 12 → 10 → 9 → 4 meets across their last four seasons),</w:t>
      </w:r>
      <w:r>
        <w:t xml:space="preserve"> </w:t>
      </w:r>
      <w:r>
        <w:rPr>
          <w:rStyle w:val="Revised"/>
        </w:rPr>
        <w:t xml:space="preserve">each athlete’s volume fell below their own earlier level in the two seasons before exit,</w:t>
      </w:r>
      <w:r>
        <w:t xml:space="preserve"> </w:t>
      </w:r>
      <w:r>
        <w:t xml:space="preserve">and decline predicted exit even among athletes all still active at 16. Fourth, higher event-category concentration within track and field was</w:t>
      </w:r>
      <w:r>
        <w:t xml:space="preserve"> </w:t>
      </w:r>
      <w:r>
        <w:rPr>
          <w:rStyle w:val="Revised"/>
        </w:rPr>
        <w:t xml:space="preserve">modestly</w:t>
      </w:r>
      <w:r>
        <w:t xml:space="preserve"> </w:t>
      </w:r>
      <w:r>
        <w:t xml:space="preserve">associated with higher retention; this is a different construct from, not a contradiction of, multisport diversification (§4.6).</w:t>
      </w:r>
    </w:p>
    <w:bookmarkEnd w:id="45"/>
    <w:bookmarkStart w:id="46" w:name="Xd43e38b2e9a635f0e8c69db93183c1dd760b038"/>
    <w:p>
      <w:pPr>
        <w:pStyle w:val="Heading2"/>
      </w:pPr>
      <w:r>
        <w:t xml:space="preserve">4.2</w:t>
      </w:r>
      <w:r>
        <w:t xml:space="preserve"> </w:t>
      </w:r>
      <w:r>
        <w:rPr>
          <w:rStyle w:val="Revised"/>
        </w:rPr>
        <w:t xml:space="preserve">Competition volume discriminates retention better than performance</w:t>
      </w:r>
    </w:p>
    <w:p>
      <w:pPr>
        <w:pStyle w:val="FirstParagraph"/>
      </w:pPr>
      <w:r>
        <w:rPr>
          <w:rStyle w:val="Revised"/>
        </w:rPr>
        <w:t xml:space="preserve">Competition volume showed better discrimination of senior retention than performance (Tyrving score) measured in the same window (AUC difference 0.098; Section 3.6); a within-baseline performance trajectory narrowed but did not reverse the gap.</w:t>
      </w:r>
      <w:r>
        <w:t xml:space="preserve"> </w:t>
      </w:r>
      <w:r>
        <w:t xml:space="preserve">Performance reflects capability; volume reflects the athlete’s own choices about taking part (licensed by the open-entry structure of Section 2.2), and those choices</w:t>
      </w:r>
      <w:r>
        <w:t xml:space="preserve"> </w:t>
      </w:r>
      <w:r>
        <w:rPr>
          <w:rStyle w:val="Revised"/>
        </w:rPr>
        <w:t xml:space="preserve">carry more information about later retention</w:t>
      </w:r>
      <w:r>
        <w:t xml:space="preserve"> </w:t>
      </w:r>
      <w:r>
        <w:t xml:space="preserve">than capability does. Two caveats: volume is a near-noiseless count while Tyrving is a scored maximum, so part of the gap could be measurement precision (the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w:t>
      </w:r>
      <w:r>
        <w:t xml:space="preserve"> </w:t>
      </w:r>
      <w:r>
        <w:rPr>
          <w:rStyle w:val="Revised"/>
        </w:rPr>
        <w:t xml:space="preserve">decline</w:t>
      </w:r>
      <w:r>
        <w:t xml:space="preserve"> </w:t>
      </w:r>
      <w:r>
        <w:t xml:space="preserve">is plausibly enforced rather than chosen.</w:t>
      </w:r>
      <w:r>
        <w:t xml:space="preserve"> </w:t>
      </w:r>
      <w:r>
        <w:rPr>
          <w:rStyle w:val="Revised"/>
          <w:i/>
          <w:iCs/>
        </w:rPr>
        <w:t xml:space="preserve">Other sports and school:</w:t>
      </w:r>
      <w:r>
        <w:rPr>
          <w:rStyle w:val="Revised"/>
        </w:rPr>
        <w:t xml:space="preserve"> </w:t>
      </w:r>
      <w:r>
        <w:rPr>
          <w:rStyle w:val="Revised"/>
        </w:rPr>
        <w:t xml:space="preserve">a move to another sport (§4.4) or school constraints leave the same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 19% exited directly from peak volume</w:t>
      </w:r>
      <w:r>
        <w:rPr>
          <w:rStyle w:val="Revised"/>
        </w:rPr>
        <w:t xml:space="preserve">, and athletes competed 12% and 24% less than their own earlier level two seasons and one season before their final season. The typical exit is preceded by declining participation, not a cliff, although the register shows the timing of this decline, not its reasons (§4.2).</w:t>
      </w:r>
      <w:r>
        <w:t xml:space="preserve"> </w:t>
      </w:r>
      <w:r>
        <w:t xml:space="preserve">Both components are nonetheless</w:t>
      </w:r>
      <w:r>
        <w:t xml:space="preserve"> </w:t>
      </w:r>
      <w:r>
        <w:rPr>
          <w:rStyle w:val="Revised"/>
        </w:rPr>
        <w:t xml:space="preserve">present</w:t>
      </w:r>
      <w:r>
        <w:t xml:space="preserve">: level and change carried independent information (Table 4), the pattern held in the contamination-free window (level OR = 3.04; change OR = 1.88</w:t>
      </w:r>
      <w:r>
        <w:t xml:space="preserve"> </w:t>
      </w:r>
      <w:r>
        <w:rPr>
          <w:rStyle w:val="Revised"/>
        </w:rPr>
        <w:t xml:space="preserve">per SD increase</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w:t>
      </w:r>
      <w:r>
        <w:rPr>
          <w:rStyle w:val="Revised"/>
        </w:rPr>
        <w:t xml:space="preserve">; Norwegian participation research is compatible with both, since</w:t>
      </w:r>
      <w:r>
        <w:t xml:space="preserve"> </w:t>
      </w:r>
      <w:r>
        <w:t xml:space="preserve">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w:t>
      </w:r>
      <w:r>
        <w:t xml:space="preserve"> </w:t>
      </w:r>
      <w:r>
        <w:rPr>
          <w:rStyle w:val="Revised"/>
        </w:rPr>
        <w:t xml:space="preserve">0.76</w:t>
      </w:r>
      <w:r>
        <w:t xml:space="preserve"> </w:t>
      </w:r>
      <w:r>
        <w:t xml:space="preserve">sex-only,</w:t>
      </w:r>
      <w:r>
        <w:t xml:space="preserve"> </w:t>
      </w:r>
      <w:r>
        <w:rPr>
          <w:rStyle w:val="Revised"/>
        </w:rPr>
        <w:t xml:space="preserve">0.61</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0.44</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modestly associated with greater senior retention (OR = 1.27 per SD; Cox HR = 0.89), robust to count-dependence tests but clear only in the younger cohort and without discriminative value (Section 3.9)</w:t>
      </w:r>
      <w:r>
        <w:t xml:space="preserve">.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w:t>
      </w:r>
      <w:r>
        <w:t xml:space="preserve"> </w:t>
      </w:r>
      <w:r>
        <w:rPr>
          <w:rStyle w:val="Revised"/>
        </w:rPr>
        <w:t xml:space="preserve">The across-sport evidence is also less settled than often assumed: in youth swimming, early-specialization markers were</w:t>
      </w:r>
      <w:r>
        <w:rPr>
          <w:rStyle w:val="Revised"/>
        </w:rPr>
        <w:t xml:space="preserve"> </w:t>
      </w:r>
      <w:r>
        <w:rPr>
          <w:rStyle w:val="Revised"/>
          <w:i/>
          <w:iCs/>
        </w:rPr>
        <w:t xml:space="preserve">not</w:t>
      </w:r>
      <w:r>
        <w:rPr>
          <w:rStyle w:val="Revised"/>
        </w:rPr>
        <w:t xml:space="preserve"> </w:t>
      </w:r>
      <w:r>
        <w:rPr>
          <w:rStyle w:val="Revised"/>
        </w:rPr>
        <w:t xml:space="preserve">positively related to burnout and dropout,</w:t>
      </w:r>
      <w:r>
        <w:rPr>
          <w:rStyle w:val="Revised"/>
          <w:vertAlign w:val="superscript"/>
        </w:rPr>
        <w:t xml:space="preserve">36</w:t>
      </w:r>
      <w:r>
        <w:rPr>
          <w:rStyle w:val="Revised"/>
        </w:rPr>
        <w:t xml:space="preserve"> </w:t>
      </w:r>
      <w:r>
        <w:rPr>
          <w:rStyle w:val="Revised"/>
        </w:rPr>
        <w:t xml:space="preserve">and blanket condemnation of early specialization has been argued to outrun the evidence.</w:t>
      </w:r>
      <w:r>
        <w:rPr>
          <w:rStyle w:val="Revised"/>
          <w:vertAlign w:val="superscript"/>
        </w:rPr>
        <w:t xml:space="preserve">37</w:t>
      </w:r>
      <w:r>
        <w:t xml:space="preserve"> </w:t>
      </w:r>
      <w:r>
        <w:t xml:space="preserve">The outcome also differs (retention at 20, not elite performance), and HHI is not a proxy for main-event performance (r =</w:t>
      </w:r>
      <w:r>
        <w:t xml:space="preserve"> </w:t>
      </w:r>
      <w:r>
        <w:rPr>
          <w:rStyle w:val="Revised"/>
        </w:rPr>
        <w:t xml:space="preserve">−0.06</w:t>
      </w:r>
      <w:r>
        <w:t xml:space="preserve">; coefficient</w:t>
      </w:r>
      <w:r>
        <w:t xml:space="preserve"> </w:t>
      </w:r>
      <w:r>
        <w:rPr>
          <w:rStyle w:val="Revised"/>
        </w:rPr>
        <w:t xml:space="preserve">1.23</w:t>
      </w:r>
      <w:r>
        <w:t xml:space="preserve"> </w:t>
      </w:r>
      <w:r>
        <w:t xml:space="preserve">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0.746, unchanged under club-grouped validation), an internal cohort replication, and an E-value of ≈2.4.</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 26% of the cohort whose senior retention is 5.7%, versus 20.2% among the unflagged, a 3.5-fold 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 and the threshold behaves similarly against an activity-at-17 outcome (14% vs 51% still active).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athletes choosing other priorities, for whom retention pressure would be misplaced;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if anything, associated with higher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That the screen runs without athlete contact is a transparency problem to solve, not a feature, and the flag must be support-only: the same list that identifies whom to help could identify whom a stretched club quietly deprioritizes.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national 13–14 meet (29% of register athletes with a result at 13–14, but 77% of eventual seniors), not all young athletes; among casual participants outside the cohort, volume was also associated with retention (OR = 2.07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w:t>
      </w:r>
      <w:r>
        <w:t xml:space="preserve">, and landmark and zero-volume sensitivities, structural overlap remains a conceptual limitation of register-only designs. Fifth, the post-baseline Cox specification violated proportional hazards (Schoenfeld χ² =</w:t>
      </w:r>
      <w:r>
        <w:t xml:space="preserve"> </w:t>
      </w:r>
      <w:r>
        <w:rPr>
          <w:rStyle w:val="Revised"/>
        </w:rPr>
        <w:t xml:space="preserve">277.1</w:t>
      </w:r>
      <w:r>
        <w:t xml:space="preserve">); its estimates are descriptive only. Sixth, the HHI treats event categories symmetrically although they co-occur unevenly (98% of hurdlers also sprinted), so identical values can represent different combination patterns. Seventh, the youngest cohort has at most four post-senior years of observation, though the fixed-window outcome gives near-identical results. Eighth, the thresholds are</w:t>
      </w:r>
      <w:r>
        <w:t xml:space="preserve"> </w:t>
      </w:r>
      <w:r>
        <w:rPr>
          <w:rStyle w:val="Revised"/>
        </w:rPr>
        <w:t xml:space="preserve">candidates</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Ever 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rPr>
                <w:rStyle w:val="Revised"/>
              </w:rPr>
              <w:t xml:space="preserve">712</w:t>
            </w:r>
          </w:p>
        </w:tc>
        <w:tc>
          <w:tcPr/>
          <w:p>
            <w:pPr>
              <w:pStyle w:val="Compact"/>
            </w:pPr>
            <w:r>
              <w:rPr>
                <w:rStyle w:val="Revised"/>
              </w:rPr>
              <w:t xml:space="preserve">715</w:t>
            </w:r>
          </w:p>
        </w:tc>
        <w:tc>
          <w:tcPr/>
          <w:p>
            <w:pPr>
              <w:pStyle w:val="Compact"/>
            </w:pPr>
            <w:r>
              <w:rPr>
                <w:rStyle w:val="Revised"/>
              </w:rPr>
              <w:t xml:space="preserve">713</w:t>
            </w:r>
          </w:p>
        </w:tc>
      </w:tr>
      <w:tr>
        <w:tc>
          <w:tcPr/>
          <w:p>
            <w:pPr>
              <w:pStyle w:val="Compact"/>
            </w:pPr>
            <w:r>
              <w:t xml:space="preserve">Median total meets, ages 13–14 (pre-milestone volume)</w:t>
            </w:r>
          </w:p>
        </w:tc>
        <w:tc>
          <w:tcPr/>
          <w:p>
            <w:pPr>
              <w:pStyle w:val="Compact"/>
            </w:pPr>
            <w:r>
              <w:t xml:space="preserve">16</w:t>
            </w:r>
          </w:p>
        </w:tc>
        <w:tc>
          <w:tcPr/>
          <w:p>
            <w:pPr>
              <w:pStyle w:val="Compact"/>
            </w:pPr>
            <w:r>
              <w:t xml:space="preserve">19</w:t>
            </w:r>
          </w:p>
        </w:tc>
        <w:tc>
          <w:tcPr/>
          <w:p>
            <w:pPr>
              <w:pStyle w:val="Compact"/>
            </w:pPr>
            <w:r>
              <w:t xml:space="preserve">17</w:t>
            </w:r>
          </w:p>
        </w:tc>
      </w:tr>
    </w:tbl>
    <w:p>
      <w:pPr>
        <w:pStyle w:val="BodyText"/>
      </w:pPr>
      <w:r>
        <w:rPr>
          <w:i/>
          <w:iCs/>
        </w:rPr>
        <w:t xml:space="preserve">Note.</w:t>
      </w:r>
      <w:r>
        <w:t xml:space="preserve"> </w:t>
      </w:r>
      <w:r>
        <w:rPr>
          <w:rStyle w:val="Revised"/>
        </w:rPr>
        <w:t xml:space="preserve">“Active at age 17 or later”</w:t>
      </w:r>
      <w:r>
        <w:rPr>
          <w:rStyle w:val="Revised"/>
        </w:rPr>
        <w:t xml:space="preserve"> </w:t>
      </w:r>
      <w:r>
        <w:rPr>
          <w:rStyle w:val="Revised"/>
        </w:rPr>
        <w:t xml:space="preserve">indicates an active season (≥2 registered results in a calendar year) at age 17 or later</w:t>
      </w:r>
      <w:r>
        <w:t xml:space="preserve">;</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w:t>
      </w:r>
      <w:r>
        <w:rPr>
          <w:rStyle w:val="Revised"/>
        </w:rPr>
        <w:t xml:space="preserve">; all baseline events scored with implement- and hurdle-specific norms (Supplementary Methods S-M3)</w:t>
      </w:r>
      <w:r>
        <w:t xml:space="preserve">.</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0.76</w:t>
            </w:r>
          </w:p>
        </w:tc>
        <w:tc>
          <w:tcPr/>
          <w:p>
            <w:pPr>
              <w:pStyle w:val="Compact"/>
            </w:pPr>
            <w:r>
              <w:rPr>
                <w:rStyle w:val="Revised"/>
              </w:rPr>
              <w:t xml:space="preserve">[0.60, 0.95]</w:t>
            </w:r>
          </w:p>
        </w:tc>
        <w:tc>
          <w:tcPr/>
          <w:p>
            <w:pPr>
              <w:pStyle w:val="Compact"/>
            </w:pPr>
            <w:r>
              <w:rPr>
                <w:rStyle w:val="Revised"/>
              </w:rPr>
              <w:t xml:space="preserve">.019</w:t>
            </w:r>
          </w:p>
        </w:tc>
        <w:tc>
          <w:tcPr/>
          <w:p>
            <w:pPr>
              <w:pStyle w:val="Compact"/>
            </w:pPr>
            <w:r>
              <w:rPr>
                <w:rStyle w:val="Revised"/>
              </w:rPr>
              <w:t xml:space="preserve">0.535 [0.506, 0.564]</w:t>
            </w:r>
          </w:p>
        </w:tc>
        <w:tc>
          <w:tcPr/>
          <w:p>
            <w:pPr>
              <w:pStyle w:val="Compact"/>
            </w:pPr>
            <w:r>
              <w:rPr>
                <w:rStyle w:val="Revised"/>
              </w:rPr>
              <w:t xml:space="preserve">2,095</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0.69</w:t>
            </w:r>
          </w:p>
        </w:tc>
        <w:tc>
          <w:tcPr/>
          <w:p>
            <w:pPr>
              <w:pStyle w:val="Compact"/>
            </w:pPr>
            <w:r>
              <w:rPr>
                <w:rStyle w:val="Revised"/>
              </w:rPr>
              <w:t xml:space="preserve">[0.54, 0.87]</w:t>
            </w:r>
          </w:p>
        </w:tc>
        <w:tc>
          <w:tcPr/>
          <w:p>
            <w:pPr>
              <w:pStyle w:val="Compact"/>
            </w:pPr>
            <w:r>
              <w:rPr>
                <w:rStyle w:val="Revised"/>
              </w:rPr>
              <w:t xml:space="preserve">.002</w:t>
            </w:r>
          </w:p>
        </w:tc>
        <w:tc>
          <w:tcPr/>
          <w:p>
            <w:pPr>
              <w:pStyle w:val="Compact"/>
            </w:pPr>
            <w:r>
              <w:rPr>
                <w:rStyle w:val="Revised"/>
              </w:rPr>
              <w:t xml:space="preserve">0.641 [0.609, 0.673]</w:t>
            </w:r>
          </w:p>
        </w:tc>
        <w:tc>
          <w:tcPr/>
          <w:p>
            <w:pPr>
              <w:pStyle w:val="Compact"/>
            </w:pPr>
            <w:r>
              <w:rPr>
                <w:rStyle w:val="Revised"/>
              </w:rPr>
              <w:t xml:space="preserve">2,095</w:t>
            </w:r>
          </w:p>
        </w:tc>
      </w:tr>
      <w:tr>
        <w:tc>
          <w:tcPr/>
          <w:p>
            <w:pPr>
              <w:pStyle w:val="Compact"/>
            </w:pPr>
          </w:p>
        </w:tc>
        <w:tc>
          <w:tcPr/>
          <w:p>
            <w:pPr>
              <w:pStyle w:val="Compact"/>
            </w:pPr>
            <w:r>
              <w:t xml:space="preserve">Tyrving (z)</w:t>
            </w:r>
          </w:p>
        </w:tc>
        <w:tc>
          <w:tcPr/>
          <w:p>
            <w:pPr>
              <w:pStyle w:val="Compact"/>
            </w:pPr>
            <w:r>
              <w:rPr>
                <w:rStyle w:val="Revised"/>
              </w:rPr>
              <w:t xml:space="preserve">1.61</w:t>
            </w:r>
          </w:p>
        </w:tc>
        <w:tc>
          <w:tcPr/>
          <w:p>
            <w:pPr>
              <w:pStyle w:val="Compact"/>
            </w:pPr>
            <w:r>
              <w:rPr>
                <w:rStyle w:val="Revised"/>
              </w:rPr>
              <w:t xml:space="preserve">[1.39, 1.87]</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0.69</w:t>
            </w:r>
          </w:p>
        </w:tc>
        <w:tc>
          <w:tcPr/>
          <w:p>
            <w:pPr>
              <w:pStyle w:val="Compact"/>
            </w:pPr>
            <w:r>
              <w:rPr>
                <w:rStyle w:val="Revised"/>
              </w:rPr>
              <w:t xml:space="preserve">[0.54, 0.87]</w:t>
            </w:r>
          </w:p>
        </w:tc>
        <w:tc>
          <w:tcPr/>
          <w:p>
            <w:pPr>
              <w:pStyle w:val="Compact"/>
            </w:pPr>
            <w:r>
              <w:rPr>
                <w:rStyle w:val="Revised"/>
              </w:rPr>
              <w:t xml:space="preserve">.002</w:t>
            </w:r>
          </w:p>
        </w:tc>
        <w:tc>
          <w:tcPr/>
          <w:p>
            <w:pPr>
              <w:pStyle w:val="Compact"/>
            </w:pPr>
            <w:r>
              <w:rPr>
                <w:rStyle w:val="Revised"/>
              </w:rPr>
              <w:t xml:space="preserve">0.636 [0.602, 0.670]</w:t>
            </w:r>
          </w:p>
        </w:tc>
        <w:tc>
          <w:tcPr/>
          <w:p>
            <w:pPr>
              <w:pStyle w:val="Compact"/>
            </w:pPr>
            <w:r>
              <w:rPr>
                <w:rStyle w:val="Revised"/>
              </w:rPr>
              <w:t xml:space="preserve">2,095</w:t>
            </w:r>
          </w:p>
        </w:tc>
      </w:tr>
      <w:tr>
        <w:tc>
          <w:tcPr/>
          <w:p>
            <w:pPr>
              <w:pStyle w:val="Compact"/>
            </w:pPr>
          </w:p>
        </w:tc>
        <w:tc>
          <w:tcPr/>
          <w:p>
            <w:pPr>
              <w:pStyle w:val="Compact"/>
            </w:pPr>
            <w:r>
              <w:t xml:space="preserve">Tyrving (z)</w:t>
            </w:r>
          </w:p>
        </w:tc>
        <w:tc>
          <w:tcPr/>
          <w:p>
            <w:pPr>
              <w:pStyle w:val="Compact"/>
            </w:pPr>
            <w:r>
              <w:rPr>
                <w:rStyle w:val="Revised"/>
              </w:rPr>
              <w:t xml:space="preserve">1.64</w:t>
            </w:r>
          </w:p>
        </w:tc>
        <w:tc>
          <w:tcPr/>
          <w:p>
            <w:pPr>
              <w:pStyle w:val="Compact"/>
            </w:pPr>
            <w:r>
              <w:rPr>
                <w:rStyle w:val="Revised"/>
              </w:rPr>
              <w:t xml:space="preserve">[1.42, 1.90]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1.12</w:t>
            </w:r>
          </w:p>
        </w:tc>
        <w:tc>
          <w:tcPr/>
          <w:p>
            <w:pPr>
              <w:pStyle w:val="Compact"/>
            </w:pPr>
            <w:r>
              <w:rPr>
                <w:rStyle w:val="Revised"/>
              </w:rPr>
              <w:t xml:space="preserve">[1.00, 1.26]</w:t>
            </w:r>
          </w:p>
        </w:tc>
        <w:tc>
          <w:tcPr/>
          <w:p>
            <w:pPr>
              <w:pStyle w:val="Compact"/>
            </w:pPr>
            <w:r>
              <w:rPr>
                <w:rStyle w:val="Revised"/>
              </w:rPr>
              <w:t xml:space="preserve">.054</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0.61</w:t>
            </w:r>
          </w:p>
        </w:tc>
        <w:tc>
          <w:tcPr/>
          <w:p>
            <w:pPr>
              <w:pStyle w:val="Compact"/>
            </w:pPr>
            <w:r>
              <w:rPr>
                <w:rStyle w:val="Revised"/>
              </w:rPr>
              <w:t xml:space="preserve">[0.47, 0.79]</w:t>
            </w:r>
          </w:p>
        </w:tc>
        <w:tc>
          <w:tcPr/>
          <w:p>
            <w:pPr>
              <w:pStyle w:val="Compact"/>
            </w:pPr>
            <w:r>
              <w:t xml:space="preserve">&lt; .001</w:t>
            </w:r>
          </w:p>
        </w:tc>
        <w:tc>
          <w:tcPr/>
          <w:p>
            <w:pPr>
              <w:pStyle w:val="Compact"/>
            </w:pPr>
            <w:r>
              <w:rPr>
                <w:rStyle w:val="Revised"/>
                <w:b/>
                <w:bCs/>
              </w:rPr>
              <w:t xml:space="preserve">0.746</w:t>
            </w:r>
            <w:r>
              <w:rPr>
                <w:rStyle w:val="Revised"/>
              </w:rPr>
              <w:t xml:space="preserve"> </w:t>
            </w:r>
            <w:r>
              <w:rPr>
                <w:rStyle w:val="Revised"/>
              </w:rPr>
              <w:t xml:space="preserve">[0.716, 0.776]</w:t>
            </w:r>
          </w:p>
        </w:tc>
        <w:tc>
          <w:tcPr/>
          <w:p>
            <w:pPr>
              <w:pStyle w:val="Compact"/>
            </w:pPr>
            <w:r>
              <w:rPr>
                <w:rStyle w:val="Revised"/>
              </w:rPr>
              <w:t xml:space="preserve">2,095</w:t>
            </w:r>
          </w:p>
        </w:tc>
      </w:tr>
      <w:tr>
        <w:tc>
          <w:tcPr/>
          <w:p>
            <w:pPr>
              <w:pStyle w:val="Compact"/>
            </w:pPr>
          </w:p>
        </w:tc>
        <w:tc>
          <w:tcPr/>
          <w:p>
            <w:pPr>
              <w:pStyle w:val="Compact"/>
            </w:pPr>
            <w:r>
              <w:t xml:space="preserve">Tyrving (z)</w:t>
            </w:r>
          </w:p>
        </w:tc>
        <w:tc>
          <w:tcPr/>
          <w:p>
            <w:pPr>
              <w:pStyle w:val="Compact"/>
            </w:pPr>
            <w:r>
              <w:rPr>
                <w:rStyle w:val="Revised"/>
              </w:rPr>
              <w:t xml:space="preserve">1.23</w:t>
            </w:r>
          </w:p>
        </w:tc>
        <w:tc>
          <w:tcPr/>
          <w:p>
            <w:pPr>
              <w:pStyle w:val="Compact"/>
            </w:pPr>
            <w:r>
              <w:rPr>
                <w:rStyle w:val="Revised"/>
              </w:rPr>
              <w:t xml:space="preserve">[1.06, 1.42]</w:t>
            </w:r>
          </w:p>
        </w:tc>
        <w:tc>
          <w:tcPr/>
          <w:p>
            <w:pPr>
              <w:pStyle w:val="Compact"/>
            </w:pPr>
            <w:r>
              <w:rPr>
                <w:rStyle w:val="Revised"/>
              </w:rPr>
              <w:t xml:space="preserve">.006</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1.27</w:t>
            </w:r>
          </w:p>
        </w:tc>
        <w:tc>
          <w:tcPr/>
          <w:p>
            <w:pPr>
              <w:pStyle w:val="Compact"/>
            </w:pPr>
            <w:r>
              <w:rPr>
                <w:rStyle w:val="Revised"/>
              </w:rPr>
              <w:t xml:space="preserve">[1.12, 1.44]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2.25</w:t>
            </w:r>
          </w:p>
        </w:tc>
        <w:tc>
          <w:tcPr/>
          <w:p>
            <w:pPr>
              <w:pStyle w:val="Compact"/>
            </w:pPr>
            <w:r>
              <w:rPr>
                <w:rStyle w:val="Revised"/>
                <w:b/>
                <w:bCs/>
              </w:rPr>
              <w:t xml:space="preserve">[1.99, 2.55]</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w:t>
      </w:r>
      <w:r>
        <w:rPr>
          <w:rStyle w:val="Revised"/>
        </w:rPr>
        <w:t xml:space="preserve">, including HHI (results at ages 13–14)</w:t>
      </w:r>
      <w:r>
        <w:t xml:space="preserve">. Pre-milestone volume is the sum of distinct meets attended 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 AUC by 0.110 (95% CI 0.081–0.140; Supplementary Table S27). HHI is associated with retention once volume is entered (mutual adjustment) but does not improve discrimination (see also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0.60</w:t>
            </w:r>
          </w:p>
        </w:tc>
        <w:tc>
          <w:tcPr/>
          <w:p>
            <w:pPr>
              <w:pStyle w:val="Compact"/>
            </w:pPr>
            <w:r>
              <w:rPr>
                <w:rStyle w:val="Revised"/>
              </w:rPr>
              <w:t xml:space="preserve">[0.46, 0.77]</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1.21</w:t>
            </w:r>
          </w:p>
        </w:tc>
        <w:tc>
          <w:tcPr/>
          <w:p>
            <w:pPr>
              <w:pStyle w:val="Compact"/>
            </w:pPr>
            <w:r>
              <w:rPr>
                <w:rStyle w:val="Revised"/>
              </w:rPr>
              <w:t xml:space="preserve">[1.04, 1.41]</w:t>
            </w:r>
          </w:p>
        </w:tc>
        <w:tc>
          <w:tcPr/>
          <w:p>
            <w:pPr>
              <w:pStyle w:val="Compact"/>
            </w:pPr>
            <w:r>
              <w:rPr>
                <w:rStyle w:val="Revised"/>
              </w:rPr>
              <w:t xml:space="preserve">.012</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2.20</w:t>
            </w:r>
          </w:p>
        </w:tc>
        <w:tc>
          <w:tcPr/>
          <w:p>
            <w:pPr>
              <w:pStyle w:val="Compact"/>
            </w:pPr>
            <w:r>
              <w:rPr>
                <w:rStyle w:val="Revised"/>
                <w:b/>
                <w:bCs/>
              </w:rPr>
              <w:t xml:space="preserve">[1.94, 2.50]</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rPr>
                <w:rStyle w:val="Revised"/>
              </w:rPr>
              <w:t xml:space="preserve">[0.45, 0.79]</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1.12</w:t>
            </w:r>
          </w:p>
        </w:tc>
        <w:tc>
          <w:tcPr/>
          <w:p>
            <w:pPr>
              <w:pStyle w:val="Compact"/>
            </w:pPr>
            <w:r>
              <w:rPr>
                <w:rStyle w:val="Revised"/>
              </w:rPr>
              <w:t xml:space="preserve">[0.96, 1.30]</w:t>
            </w:r>
          </w:p>
        </w:tc>
        <w:tc>
          <w:tcPr/>
          <w:p>
            <w:pPr>
              <w:pStyle w:val="Compact"/>
            </w:pPr>
            <w:r>
              <w:rPr>
                <w:rStyle w:val="Revised"/>
              </w:rPr>
              <w:t xml:space="preserve">.140</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2.70</w:t>
            </w:r>
          </w:p>
        </w:tc>
        <w:tc>
          <w:tcPr/>
          <w:p>
            <w:pPr>
              <w:pStyle w:val="Compact"/>
            </w:pPr>
            <w:r>
              <w:rPr>
                <w:rStyle w:val="Revised"/>
                <w:b/>
                <w:bCs/>
              </w:rPr>
              <w:t xml:space="preserve">[2.33, 3.12]</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2.38</w:t>
            </w:r>
          </w:p>
        </w:tc>
        <w:tc>
          <w:tcPr/>
          <w:p>
            <w:pPr>
              <w:pStyle w:val="Compact"/>
            </w:pPr>
            <w:r>
              <w:rPr>
                <w:rStyle w:val="Revised"/>
                <w:b/>
                <w:bCs/>
              </w:rPr>
              <w:t xml:space="preserve">[2.08, 2.73]</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−2.3, SD 6.5 meets). The OR of 2.38 per SD increase is equivalent to OR = 0.42 [0.37, 0.48] per SD of greater decline (about 6.5 fewer meets), conditional on the level at age 14; per 5 fewer meets, OR = 0.51. Because the model is linear in the logit, it is identical to one with volume at 14 and volume at 15 as separate levels (the per-meet OR for change equals the per-meet OR for volume at 15). Pseudo-R² (McFadden) rose from 0.122 (M1) to 0.229 (M2); CV-AUC 0.735 → 0.823. 26 of the 1,914 athletes active at 14 lack registered sex or a Tyrving score (sample n = 1,888).</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rPr>
                <w:rStyle w:val="Revised"/>
              </w:rPr>
              <w:t xml:space="preserve">0.13 [0.11, 0.16]</w:t>
            </w:r>
          </w:p>
        </w:tc>
        <w:tc>
          <w:tcPr/>
          <w:p>
            <w:pPr>
              <w:pStyle w:val="Compact"/>
            </w:pPr>
            <w:r>
              <w:rPr>
                <w:rStyle w:val="Revised"/>
              </w:rPr>
              <w:t xml:space="preserve">0.70 [0.62, 0.80]</w:t>
            </w:r>
          </w:p>
        </w:tc>
        <w:tc>
          <w:tcPr/>
          <w:p>
            <w:pPr>
              <w:pStyle w:val="Compact"/>
            </w:pPr>
            <w:r>
              <w:rPr>
                <w:rStyle w:val="Revised"/>
              </w:rPr>
              <w:t xml:space="preserve">0.90 [0.74, 1.09]</w:t>
            </w:r>
          </w:p>
        </w:tc>
      </w:tr>
      <w:tr>
        <w:tc>
          <w:tcPr/>
          <w:p>
            <w:pPr>
              <w:pStyle w:val="Compact"/>
            </w:pPr>
            <w:r>
              <w:t xml:space="preserve">Championship types (count)</w:t>
            </w:r>
          </w:p>
        </w:tc>
        <w:tc>
          <w:tcPr/>
          <w:p>
            <w:pPr>
              <w:pStyle w:val="Compact"/>
            </w:pPr>
            <w:r>
              <w:rPr>
                <w:rStyle w:val="Revised"/>
              </w:rPr>
              <w:t xml:space="preserve">0.78 [0.72, 0.85]</w:t>
            </w:r>
          </w:p>
        </w:tc>
        <w:tc>
          <w:tcPr/>
          <w:p>
            <w:pPr>
              <w:pStyle w:val="Compact"/>
            </w:pPr>
            <w:r>
              <w:rPr>
                <w:rStyle w:val="Revised"/>
              </w:rPr>
              <w:t xml:space="preserve">0.88 [0.77, 1.00]</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0.99 [0.94, 1.05]</w:t>
            </w:r>
          </w:p>
        </w:tc>
        <w:tc>
          <w:tcPr/>
          <w:p>
            <w:pPr>
              <w:pStyle w:val="Compact"/>
            </w:pPr>
            <w:r>
              <w:rPr>
                <w:rStyle w:val="Revised"/>
              </w:rPr>
              <w:t xml:space="preserve">0.96 [0.88, 1.06]</w:t>
            </w:r>
          </w:p>
        </w:tc>
        <w:tc>
          <w:tcPr/>
          <w:p>
            <w:pPr>
              <w:pStyle w:val="Compact"/>
            </w:pPr>
            <w:r>
              <w:rPr>
                <w:rStyle w:val="Revised"/>
              </w:rPr>
              <w:t xml:space="preserve">1.15 [0.97, 1.36]</w:t>
            </w:r>
          </w:p>
        </w:tc>
      </w:tr>
      <w:tr>
        <w:tc>
          <w:tcPr/>
          <w:p>
            <w:pPr>
              <w:pStyle w:val="Compact"/>
            </w:pPr>
            <w:r>
              <w:rPr>
                <w:rStyle w:val="Revised"/>
              </w:rPr>
              <w:t xml:space="preserve">HHI, ages 13–14 (z)</w:t>
            </w:r>
          </w:p>
        </w:tc>
        <w:tc>
          <w:tcPr/>
          <w:p>
            <w:pPr>
              <w:pStyle w:val="Compact"/>
            </w:pPr>
            <w:r>
              <w:rPr>
                <w:rStyle w:val="Revised"/>
              </w:rPr>
              <w:t xml:space="preserve">1.02 [0.97, 1.08]</w:t>
            </w:r>
          </w:p>
        </w:tc>
        <w:tc>
          <w:tcPr/>
          <w:p>
            <w:pPr>
              <w:pStyle w:val="Compact"/>
            </w:pPr>
            <w:r>
              <w:rPr>
                <w:rStyle w:val="Revised"/>
              </w:rPr>
              <w:t xml:space="preserve">0.89 [0.81, 0.98]</w:t>
            </w:r>
          </w:p>
        </w:tc>
        <w:tc>
          <w:tcPr/>
          <w:p>
            <w:pPr>
              <w:pStyle w:val="Compact"/>
            </w:pPr>
            <w:r>
              <w:rPr>
                <w:rStyle w:val="Revised"/>
              </w:rPr>
              <w:t xml:space="preserve">1.01 [0.87, 1.17]</w:t>
            </w:r>
          </w:p>
        </w:tc>
      </w:tr>
      <w:tr>
        <w:tc>
          <w:tcPr/>
          <w:p>
            <w:pPr>
              <w:pStyle w:val="Compact"/>
            </w:pPr>
            <w:r>
              <w:t xml:space="preserve">Female</w:t>
            </w:r>
          </w:p>
        </w:tc>
        <w:tc>
          <w:tcPr/>
          <w:p>
            <w:pPr>
              <w:pStyle w:val="Compact"/>
            </w:pPr>
            <w:r>
              <w:rPr>
                <w:rStyle w:val="Revised"/>
              </w:rPr>
              <w:t xml:space="preserve">1.04 [0.93, 1.16]</w:t>
            </w:r>
          </w:p>
        </w:tc>
        <w:tc>
          <w:tcPr/>
          <w:p>
            <w:pPr>
              <w:pStyle w:val="Compact"/>
            </w:pPr>
            <w:r>
              <w:rPr>
                <w:rStyle w:val="Revised"/>
              </w:rPr>
              <w:t xml:space="preserve">1.40 [1.16, 1.68]</w:t>
            </w:r>
          </w:p>
        </w:tc>
        <w:tc>
          <w:tcPr/>
          <w:p>
            <w:pPr>
              <w:pStyle w:val="Compact"/>
            </w:pPr>
            <w:r>
              <w:rPr>
                <w:rStyle w:val="Revised"/>
              </w:rPr>
              <w:t xml:space="preserve">1.06 [0.78, 1.44]</w:t>
            </w:r>
          </w:p>
        </w:tc>
      </w:tr>
      <w:tr>
        <w:tc>
          <w:tcPr/>
          <w:p>
            <w:pPr>
              <w:pStyle w:val="Compact"/>
            </w:pPr>
            <w:r>
              <w:t xml:space="preserve">n at risk in interval</w:t>
            </w:r>
          </w:p>
        </w:tc>
        <w:tc>
          <w:tcPr/>
          <w:p>
            <w:pPr>
              <w:pStyle w:val="Compact"/>
            </w:pPr>
            <w:r>
              <w:rPr>
                <w:rStyle w:val="Revised"/>
              </w:rPr>
              <w:t xml:space="preserve">2,095</w:t>
            </w:r>
          </w:p>
        </w:tc>
        <w:tc>
          <w:tcPr/>
          <w:p>
            <w:pPr>
              <w:pStyle w:val="Compact"/>
            </w:pPr>
            <w:r>
              <w:rPr>
                <w:rStyle w:val="Revised"/>
              </w:rPr>
              <w:t xml:space="preserve">812</w:t>
            </w:r>
          </w:p>
        </w:tc>
        <w:tc>
          <w:tcPr/>
          <w:p>
            <w:pPr>
              <w:pStyle w:val="Compact"/>
            </w:pPr>
            <w:r>
              <w:rPr>
                <w:rStyle w:val="Revised"/>
              </w:rPr>
              <w:t xml:space="preserve">331</w:t>
            </w:r>
          </w:p>
        </w:tc>
      </w:tr>
      <w:tr>
        <w:tc>
          <w:tcPr/>
          <w:p>
            <w:pPr>
              <w:pStyle w:val="Compact"/>
            </w:pPr>
            <w:r>
              <w:t xml:space="preserve">events in interval</w:t>
            </w:r>
          </w:p>
        </w:tc>
        <w:tc>
          <w:tcPr/>
          <w:p>
            <w:pPr>
              <w:pStyle w:val="Compact"/>
            </w:pPr>
            <w:r>
              <w:rPr>
                <w:rStyle w:val="Revised"/>
              </w:rPr>
              <w:t xml:space="preserve">1,283</w:t>
            </w:r>
          </w:p>
        </w:tc>
        <w:tc>
          <w:tcPr/>
          <w:p>
            <w:pPr>
              <w:pStyle w:val="Compact"/>
            </w:pPr>
            <w:r>
              <w:rPr>
                <w:rStyle w:val="Revised"/>
              </w:rPr>
              <w:t xml:space="preserve">481</w:t>
            </w:r>
          </w:p>
        </w:tc>
        <w:tc>
          <w:tcPr/>
          <w:p>
            <w:pPr>
              <w:pStyle w:val="Compact"/>
            </w:pPr>
            <w:r>
              <w:rPr>
                <w:rStyle w:val="Revised"/>
              </w:rPr>
              <w:t xml:space="preserve">170</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0.657</w:t>
            </w:r>
          </w:p>
        </w:tc>
        <w:tc>
          <w:tcPr/>
          <w:p>
            <w:pPr>
              <w:pStyle w:val="Compact"/>
            </w:pPr>
            <w:r>
              <w:rPr>
                <w:rStyle w:val="Revised"/>
              </w:rPr>
              <w:t xml:space="preserve">0.581</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9.3</w:t>
            </w:r>
          </w:p>
        </w:tc>
        <w:tc>
          <w:tcPr/>
          <w:p>
            <w:pPr>
              <w:pStyle w:val="Compact"/>
            </w:pPr>
            <w:r>
              <w:t xml:space="preserve">0.10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7.1% [3.6, 11.3]</w:t>
            </w:r>
          </w:p>
        </w:tc>
        <w:tc>
          <w:tcPr/>
          <w:p>
            <w:pPr>
              <w:pStyle w:val="Compact"/>
            </w:pPr>
            <w:r>
              <w:t xml:space="preserve">17.3% [15.7, 19.1]</w:t>
            </w:r>
          </w:p>
        </w:tc>
      </w:tr>
      <w:tr>
        <w:tc>
          <w:tcPr/>
          <w:p>
            <w:pPr>
              <w:pStyle w:val="Compact"/>
            </w:pPr>
            <w:r>
              <w:t xml:space="preserve">8 meets</w:t>
            </w:r>
          </w:p>
        </w:tc>
        <w:tc>
          <w:tcPr/>
          <w:p>
            <w:pPr>
              <w:pStyle w:val="Compact"/>
            </w:pPr>
            <w:r>
              <w:t xml:space="preserve">19.8</w:t>
            </w:r>
          </w:p>
        </w:tc>
        <w:tc>
          <w:tcPr/>
          <w:p>
            <w:pPr>
              <w:pStyle w:val="Compact"/>
            </w:pPr>
            <w:r>
              <w:t xml:space="preserve">0.22 [0.20, 0.24]</w:t>
            </w:r>
          </w:p>
        </w:tc>
        <w:tc>
          <w:tcPr/>
          <w:p>
            <w:pPr>
              <w:pStyle w:val="Compact"/>
            </w:pPr>
            <w:r>
              <w:t xml:space="preserve">0.93 [0.90, 0.96]</w:t>
            </w:r>
          </w:p>
        </w:tc>
        <w:tc>
          <w:tcPr/>
          <w:p>
            <w:pPr>
              <w:pStyle w:val="Compact"/>
            </w:pPr>
            <w:r>
              <w:rPr>
                <w:b/>
                <w:bCs/>
              </w:rPr>
              <w:t xml:space="preserve">0.94</w:t>
            </w:r>
            <w:r>
              <w:t xml:space="preserve"> </w:t>
            </w:r>
            <w:r>
              <w:t xml:space="preserve">[0.92, 0.96]</w:t>
            </w:r>
          </w:p>
        </w:tc>
        <w:tc>
          <w:tcPr/>
          <w:p>
            <w:pPr>
              <w:pStyle w:val="Compact"/>
            </w:pPr>
            <w:r>
              <w:t xml:space="preserve">0.19 [0.17, 0.21]</w:t>
            </w:r>
          </w:p>
        </w:tc>
        <w:tc>
          <w:tcPr/>
          <w:p>
            <w:pPr>
              <w:pStyle w:val="Compact"/>
            </w:pPr>
            <w:r>
              <w:t xml:space="preserve">5.7% [3.6, 7.9]</w:t>
            </w:r>
          </w:p>
        </w:tc>
        <w:tc>
          <w:tcPr/>
          <w:p>
            <w:pPr>
              <w:pStyle w:val="Compact"/>
            </w:pPr>
            <w:r>
              <w:t xml:space="preserve">19.0% [17.2, 21.0]</w:t>
            </w:r>
          </w:p>
        </w:tc>
      </w:tr>
      <w:tr>
        <w:tc>
          <w:tcPr/>
          <w:p>
            <w:pPr>
              <w:pStyle w:val="Compact"/>
            </w:pPr>
            <w:r>
              <w:t xml:space="preserve">10 meets</w:t>
            </w:r>
          </w:p>
        </w:tc>
        <w:tc>
          <w:tcPr/>
          <w:p>
            <w:pPr>
              <w:pStyle w:val="Compact"/>
            </w:pPr>
            <w:r>
              <w:t xml:space="preserve">26.4</w:t>
            </w:r>
          </w:p>
        </w:tc>
        <w:tc>
          <w:tcPr/>
          <w:p>
            <w:pPr>
              <w:pStyle w:val="Compact"/>
            </w:pPr>
            <w:r>
              <w:t xml:space="preserve">0.30 [0.28, 0.32]</w:t>
            </w:r>
          </w:p>
        </w:tc>
        <w:tc>
          <w:tcPr/>
          <w:p>
            <w:pPr>
              <w:pStyle w:val="Compact"/>
            </w:pPr>
            <w:r>
              <w:t xml:space="preserve">0.91 [0.88, 0.94]</w:t>
            </w:r>
          </w:p>
        </w:tc>
        <w:tc>
          <w:tcPr/>
          <w:p>
            <w:pPr>
              <w:pStyle w:val="Compact"/>
            </w:pPr>
            <w:r>
              <w:rPr>
                <w:b/>
                <w:bCs/>
              </w:rPr>
              <w:t xml:space="preserve">0.94</w:t>
            </w:r>
            <w:r>
              <w:t xml:space="preserve"> </w:t>
            </w:r>
            <w:r>
              <w:t xml:space="preserve">[0.92, 0.96]</w:t>
            </w:r>
          </w:p>
        </w:tc>
        <w:tc>
          <w:tcPr/>
          <w:p>
            <w:pPr>
              <w:pStyle w:val="Compact"/>
            </w:pPr>
            <w:r>
              <w:t xml:space="preserve">0.20 [0.18, 0.22]</w:t>
            </w:r>
          </w:p>
        </w:tc>
        <w:tc>
          <w:tcPr/>
          <w:p>
            <w:pPr>
              <w:pStyle w:val="Compact"/>
            </w:pPr>
            <w:r>
              <w:t xml:space="preserve">5.7% [3.9, 7.7]</w:t>
            </w:r>
          </w:p>
        </w:tc>
        <w:tc>
          <w:tcPr/>
          <w:p>
            <w:pPr>
              <w:pStyle w:val="Compact"/>
            </w:pPr>
            <w:r>
              <w:t xml:space="preserve">20.2% [18.3, 22.2]</w:t>
            </w:r>
          </w:p>
        </w:tc>
      </w:tr>
      <w:tr>
        <w:tc>
          <w:tcPr/>
          <w:p>
            <w:pPr>
              <w:pStyle w:val="Compact"/>
            </w:pPr>
            <w:r>
              <w:t xml:space="preserve">15 meets</w:t>
            </w:r>
          </w:p>
        </w:tc>
        <w:tc>
          <w:tcPr/>
          <w:p>
            <w:pPr>
              <w:pStyle w:val="Compact"/>
            </w:pPr>
            <w:r>
              <w:t xml:space="preserve">43.1</w:t>
            </w:r>
          </w:p>
        </w:tc>
        <w:tc>
          <w:tcPr/>
          <w:p>
            <w:pPr>
              <w:pStyle w:val="Compact"/>
            </w:pPr>
            <w:r>
              <w:t xml:space="preserve">0.48 [0.46, 0.50]</w:t>
            </w:r>
          </w:p>
        </w:tc>
        <w:tc>
          <w:tcPr/>
          <w:p>
            <w:pPr>
              <w:pStyle w:val="Compact"/>
            </w:pPr>
            <w:r>
              <w:t xml:space="preserve">0.82 [0.77, 0.85]</w:t>
            </w:r>
          </w:p>
        </w:tc>
        <w:tc>
          <w:tcPr/>
          <w:p>
            <w:pPr>
              <w:pStyle w:val="Compact"/>
            </w:pPr>
            <w:r>
              <w:rPr>
                <w:b/>
                <w:bCs/>
              </w:rPr>
              <w:t xml:space="preserve">0.93</w:t>
            </w:r>
            <w:r>
              <w:t xml:space="preserve"> </w:t>
            </w:r>
            <w:r>
              <w:t xml:space="preserve">[0.91, 0.95]</w:t>
            </w:r>
          </w:p>
        </w:tc>
        <w:tc>
          <w:tcPr/>
          <w:p>
            <w:pPr>
              <w:pStyle w:val="Compact"/>
            </w:pPr>
            <w:r>
              <w:t xml:space="preserve">0.24 [0.21, 0.26]</w:t>
            </w:r>
          </w:p>
        </w:tc>
        <w:tc>
          <w:tcPr/>
          <w:p>
            <w:pPr>
              <w:pStyle w:val="Compact"/>
            </w:pPr>
            <w:r>
              <w:t xml:space="preserve">7.0% [5.4, 8.7]</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2,123); brackets are 2,000-replicate bootstrap 95% CIs. PPV is the proportion of flagged athletes who subsequently failed to retain senior activity. The final two columns give the absolute retention contrast: at the &lt; 10 threshold, 5.7% among flagged vs. 20.2% among unflagged athletes (a 3.5-fold difference). The high PPV partly reflects the population’s 84% non-retention base rate (the threshold improves precision by ~10 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 replication</w:t>
      </w:r>
      <w:r>
        <w:t xml:space="preserve"> </w:t>
      </w:r>
      <w:r>
        <w:t xml:space="preserve">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1,286</w:t>
            </w:r>
          </w:p>
        </w:tc>
        <w:tc>
          <w:tcPr/>
          <w:p>
            <w:pPr>
              <w:pStyle w:val="Compact"/>
            </w:pPr>
            <w:r>
              <w:t xml:space="preserve">Female</w:t>
            </w:r>
          </w:p>
        </w:tc>
        <w:tc>
          <w:tcPr/>
          <w:p>
            <w:pPr>
              <w:pStyle w:val="Compact"/>
            </w:pPr>
            <w:r>
              <w:rPr>
                <w:rStyle w:val="Revised"/>
              </w:rPr>
              <w:t xml:space="preserve">0.64</w:t>
            </w:r>
          </w:p>
        </w:tc>
        <w:tc>
          <w:tcPr/>
          <w:p>
            <w:pPr>
              <w:pStyle w:val="Compact"/>
            </w:pPr>
            <w:r>
              <w:rPr>
                <w:rStyle w:val="Revised"/>
              </w:rPr>
              <w:t xml:space="preserve">[0.47, 0.89]</w:t>
            </w:r>
          </w:p>
        </w:tc>
        <w:tc>
          <w:tcPr/>
          <w:p>
            <w:pPr>
              <w:pStyle w:val="Compact"/>
            </w:pPr>
            <w:r>
              <w:rPr>
                <w:rStyle w:val="Revised"/>
              </w:rPr>
              <w:t xml:space="preserve">.008</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1.22</w:t>
            </w:r>
          </w:p>
        </w:tc>
        <w:tc>
          <w:tcPr/>
          <w:p>
            <w:pPr>
              <w:pStyle w:val="Compact"/>
            </w:pPr>
            <w:r>
              <w:rPr>
                <w:rStyle w:val="Revised"/>
              </w:rPr>
              <w:t xml:space="preserve">[1.01, 1.48]</w:t>
            </w:r>
          </w:p>
        </w:tc>
        <w:tc>
          <w:tcPr/>
          <w:p>
            <w:pPr>
              <w:pStyle w:val="Compact"/>
            </w:pPr>
            <w:r>
              <w:rPr>
                <w:rStyle w:val="Revised"/>
              </w:rPr>
              <w:t xml:space="preserve">.041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[0.97, 1.37]</w:t>
            </w:r>
          </w:p>
        </w:tc>
        <w:tc>
          <w:tcPr/>
          <w:p>
            <w:pPr>
              <w:pStyle w:val="Compact"/>
            </w:pPr>
            <w:r>
              <w:rPr>
                <w:rStyle w:val="Revised"/>
              </w:rPr>
              <w:t xml:space="preserve">.096</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2.22</w:t>
            </w:r>
          </w:p>
        </w:tc>
        <w:tc>
          <w:tcPr/>
          <w:p>
            <w:pPr>
              <w:pStyle w:val="Compact"/>
            </w:pPr>
            <w:r>
              <w:rPr>
                <w:rStyle w:val="Revised"/>
                <w:b/>
                <w:bCs/>
              </w:rPr>
              <w:t xml:space="preserve">[1.89, 2.60]</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809</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[0.38, 0.86]</w:t>
            </w:r>
          </w:p>
        </w:tc>
        <w:tc>
          <w:tcPr/>
          <w:p>
            <w:pPr>
              <w:pStyle w:val="Compact"/>
            </w:pPr>
            <w:r>
              <w:rPr>
                <w:rStyle w:val="Revised"/>
              </w:rPr>
              <w:t xml:space="preserve">.007</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1.23</w:t>
            </w:r>
          </w:p>
        </w:tc>
        <w:tc>
          <w:tcPr/>
          <w:p>
            <w:pPr>
              <w:pStyle w:val="Compact"/>
            </w:pPr>
            <w:r>
              <w:rPr>
                <w:rStyle w:val="Revised"/>
              </w:rPr>
              <w:t xml:space="preserve">[0.98, 1.54]</w:t>
            </w:r>
          </w:p>
        </w:tc>
        <w:tc>
          <w:tcPr/>
          <w:p>
            <w:pPr>
              <w:pStyle w:val="Compact"/>
            </w:pPr>
            <w:r>
              <w:rPr>
                <w:rStyle w:val="Revised"/>
              </w:rPr>
              <w:t xml:space="preserve">.075</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1.44</w:t>
            </w:r>
          </w:p>
        </w:tc>
        <w:tc>
          <w:tcPr/>
          <w:p>
            <w:pPr>
              <w:pStyle w:val="Compact"/>
            </w:pPr>
            <w:r>
              <w:rPr>
                <w:rStyle w:val="Revised"/>
              </w:rPr>
              <w:t xml:space="preserve">[1.19, 1.74]</w:t>
            </w:r>
          </w:p>
        </w:tc>
        <w:tc>
          <w:tcPr/>
          <w:p>
            <w:pPr>
              <w:pStyle w:val="Compact"/>
            </w:pPr>
            <w:r>
              <w:t xml:space="preserve">&lt; .001</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2.33</w:t>
            </w:r>
          </w:p>
        </w:tc>
        <w:tc>
          <w:tcPr/>
          <w:p>
            <w:pPr>
              <w:pStyle w:val="Compact"/>
            </w:pPr>
            <w:r>
              <w:rPr>
                <w:rStyle w:val="Revised"/>
                <w:b/>
                <w:bCs/>
              </w:rPr>
              <w:t xml:space="preserve">[1.90, 2.87]</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Both cohorts come from the same register and national system, so this is an internal replication. The pre-milestone volume effect is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2026-10-01T22:00:03Z</dcterms:created>
  <dcterms:modified xsi:type="dcterms:W3CDTF">2026-10-01T22:00:03Z</dcterms:modified>
</cp:coreProperties>
</file>

<file path=docProps/custom.xml><?xml version="1.0" encoding="utf-8"?>
<Properties xmlns="http://schemas.openxmlformats.org/officeDocument/2006/custom-properties" xmlns:vt="http://schemas.openxmlformats.org/officeDocument/2006/docPropsVTypes"/>
</file>