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so only flat runs and four jumps had been scored. With corrected scoring, 97.9% of baseline results are scored and Tyrving is missing for 28 athletes (1.3%) instead of 419 (19.7%); the primary sample increases from 1,704 to 2,095.</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 is unchanged. Pre-milestone competition volume has OR = 2.25 per SD (95% CI 1.99–2.55; submitted 2.40) and cross-validated AUC = 0.746 (0.716–0.776; submitted 0.751), identical with club-grouped folds, and it is reproduced in both birth cohorts. With complete performance scoring, baseline Tyrving now shows a modest independent association (OR 1.23 [1.06, 1.42]). The specialization (HHI) association is smaller (OR 1.27 [1.12, 1.44]; submitted 1.36), clear in only one cohort, and adds no discrimination, so we have tempered those claims.</w:t>
      </w:r>
    </w:p>
    <w:p>
      <w:pPr>
        <w:pStyle w:val="BodyText"/>
      </w:pPr>
      <w:r>
        <w:rPr>
          <w:b/>
          <w:bCs/>
        </w:rPr>
        <w:t xml:space="preserve">Other corrections found during the re-analysis.</w:t>
      </w:r>
      <w:r>
        <w:t xml:space="preserve"> </w:t>
      </w:r>
      <w:r>
        <w:t xml:space="preserve">To make every number traceable, all tables are now generated directly from the analysis code. In doing so we found, and corrected:</w:t>
      </w:r>
    </w:p>
    <w:p>
      <w:pPr>
        <w:pStyle w:val="Compact"/>
        <w:numPr>
          <w:ilvl w:val="0"/>
          <w:numId w:val="1002"/>
        </w:numPr>
      </w:pPr>
      <w:r>
        <w:t xml:space="preserve">the non-volume rows of Table 5 had been transcribed from an earlier model run (the volume rows, numbers at risk and events were correct);</w:t>
      </w:r>
    </w:p>
    <w:p>
      <w:pPr>
        <w:pStyle w:val="Compact"/>
        <w:numPr>
          <w:ilvl w:val="0"/>
          <w:numId w:val="1002"/>
        </w:numPr>
      </w:pPr>
      <w:r>
        <w:t xml:space="preserve">two minor transcription errors in Tables S2 and S4;</w:t>
      </w:r>
    </w:p>
    <w:p>
      <w:pPr>
        <w:pStyle w:val="Compact"/>
        <w:numPr>
          <w:ilvl w:val="0"/>
          <w:numId w:val="1002"/>
        </w:numPr>
      </w:pPr>
      <w:r>
        <w:t xml:space="preserve">one in-text citation (van Houwelingen) had not been converted to Sage Vancouver style;</w:t>
      </w:r>
    </w:p>
    <w:p>
      <w:pPr>
        <w:pStyle w:val="Compact"/>
        <w:numPr>
          <w:ilvl w:val="0"/>
          <w:numId w:val="1002"/>
        </w:numPr>
      </w:pPr>
      <w:r>
        <w:t xml:space="preserve">Figure 1 contained a box referring to self-determination theory, which is neither used nor cited in the text; it is replaced by meaning-in-movement accounts, which are cited in Section 1.1;</w:t>
      </w:r>
    </w:p>
    <w:p>
      <w:pPr>
        <w:pStyle w:val="Compact"/>
        <w:numPr>
          <w:ilvl w:val="0"/>
          <w:numId w:val="1002"/>
        </w:numPr>
      </w:pPr>
      <w:r>
        <w:t xml:space="preserve">the Table 1 note misdescribed</w:t>
      </w:r>
      <w:r>
        <w:t xml:space="preserve"> </w:t>
      </w:r>
      <w:r>
        <w:t xml:space="preserve">“active at age 17”</w:t>
      </w:r>
      <w:r>
        <w:t xml:space="preserve">, which means an active season at age 17 or later.</w:t>
      </w:r>
    </w:p>
    <w:p>
      <w:pPr>
        <w:pStyle w:val="FirstParagraph"/>
      </w:pPr>
      <w:r>
        <w:rPr>
          <w:b/>
          <w:bCs/>
        </w:rPr>
        <w:t xml:space="preserve">Length.</w:t>
      </w:r>
      <w:r>
        <w:t xml:space="preserve"> </w:t>
      </w:r>
      <w:r>
        <w:t xml:space="preserve">The requested analyses increased the main text from 6,036 to about 6,550 words; most new detail is placed in the Supplementary Methods (S-M3, S-M4, S-M6, S-M9 to S-M11) and new Supplementary Tables S26–S32. We would be glad to shorten the text further if you prefer.</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w:t>
      </w:r>
    </w:p>
    <w:p>
      <w:pPr>
        <w:pStyle w:val="BodyText"/>
      </w:pPr>
      <w:r>
        <w:t xml:space="preserve">The correction changes the volume estimate little (with the original performance scoring, OR 2.40 → 2.33; in the final revised model, 2.25 [1.99, 2.55]). It reduces the HHI association (1.36 → 1.27 [1.12, 1.44]), which is now clear in Cohort B (1.44) but not significant in Cohort A (1.16 [0.97, 1.37]), and adding HHI does not improve discrimination (ΔAUC −0.005 [−0.017, 0.008]). The HHI text in the Abstract and in Sections 3.9, 4.1, 4.6 and 4.8 has been tempered accordingly.</w:t>
      </w:r>
    </w:p>
    <w:p>
      <w:pPr>
        <w:pStyle w:val="BodyText"/>
      </w:pPr>
      <w:r>
        <w:rPr>
          <w:i/>
          <w:iCs/>
        </w:rPr>
        <w:t xml:space="preserve">Changes:</w:t>
      </w:r>
      <w:r>
        <w:t xml:space="preserve"> </w:t>
      </w:r>
      <w:r>
        <w:t xml:space="preserve">Section 2.4.3; Supplementary Methods S-M8; all HHI-containing tables (Tables 3, 5, 7, S1–S2, S5–S11, S13, S16–S18, S20–S22, S25); Sections 3.3, 3.9, 4.1, 4.6.</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All cross-validation in the revision uses in-fold standardization and 20 repeats of stratified 5-fold cross-validation. For the revised primary model, CV-AUC = 0.746 (95% CI 0.716–0.776), with calibration slope 0.98, calibration-in-the-large 0.00 and Brier score 0.120 (Table 3; Table S23).</w:t>
      </w:r>
    </w:p>
    <w:p>
      <w:pPr>
        <w:pStyle w:val="BodyText"/>
      </w:pPr>
      <w:r>
        <w:rPr>
          <w:i/>
          <w:iCs/>
        </w:rPr>
        <w:t xml:space="preserve">Changes:</w:t>
      </w:r>
      <w:r>
        <w:t xml:space="preserve"> </w:t>
      </w:r>
      <w:r>
        <w:t xml:space="preserve">Sections 2.5.1 and 3.3; Supplementary Methods S-M4; Tables 3, S23, S26.</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3"/>
        </w:numPr>
      </w:pPr>
      <w:r>
        <w:t xml:space="preserve">club-grouped folds: CV-AUC 0.746 (0.709–0.783), slope 0.96, Brier 0.120;</w:t>
      </w:r>
    </w:p>
    <w:p>
      <w:pPr>
        <w:pStyle w:val="Compact"/>
        <w:numPr>
          <w:ilvl w:val="0"/>
          <w:numId w:val="1003"/>
        </w:numPr>
      </w:pPr>
      <w:r>
        <w:t xml:space="preserve">athlete-level folds: 0.746 (0.716–0.776), 0.98, 0.120.</w:t>
      </w:r>
    </w:p>
    <w:p>
      <w:pPr>
        <w:pStyle w:val="FirstParagraph"/>
      </w:pPr>
      <w:r>
        <w:t xml:space="preserve">Together with the club random-intercept model (volume OR 2.43 [2.17, 2.72]), this shows that the association holds within clubs and carries over to clubs not used for fitting.</w:t>
      </w:r>
    </w:p>
    <w:p>
      <w:pPr>
        <w:pStyle w:val="BodyText"/>
      </w:pPr>
      <w:r>
        <w:rPr>
          <w:i/>
          <w:iCs/>
        </w:rPr>
        <w:t xml:space="preserve">Changes:</w:t>
      </w:r>
      <w:r>
        <w:t xml:space="preserve"> </w:t>
      </w:r>
      <w:r>
        <w:t xml:space="preserve">Sections 2.5.1 and 3.4;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w:t>
      </w:r>
    </w:p>
    <w:p>
      <w:pPr>
        <w:pStyle w:val="BodyText"/>
      </w:pPr>
      <w:r>
        <w:t xml:space="preserve">We corrected the scoring so that every result is scored against the table row for its event, specification, sex and age (Section 2.4.2; Supplementary Methods S-M3):</w:t>
      </w:r>
    </w:p>
    <w:p>
      <w:pPr>
        <w:pStyle w:val="Compact"/>
        <w:numPr>
          <w:ilvl w:val="0"/>
          <w:numId w:val="1004"/>
        </w:numPr>
      </w:pPr>
      <w:r>
        <w:t xml:space="preserve">97.9% of baseline results are now scored (previously 50.8%);</w:t>
      </w:r>
    </w:p>
    <w:p>
      <w:pPr>
        <w:pStyle w:val="Compact"/>
        <w:numPr>
          <w:ilvl w:val="0"/>
          <w:numId w:val="1004"/>
        </w:numPr>
      </w:pPr>
      <w:r>
        <w:t xml:space="preserve">baseline Tyrving is missing for 28 athletes (1.3%) instead of 419 (19.7%), 24 of whom have no registered sex;</w:t>
      </w:r>
    </w:p>
    <w:p>
      <w:pPr>
        <w:pStyle w:val="Compact"/>
        <w:numPr>
          <w:ilvl w:val="0"/>
          <w:numId w:val="1004"/>
        </w:numPr>
      </w:pPr>
      <w:r>
        <w:t xml:space="preserve">the primary complete-case sample increases from 1,704 to 2,095.</w:t>
      </w:r>
    </w:p>
    <w:p>
      <w:pPr>
        <w:pStyle w:val="FirstParagraph"/>
      </w:pPr>
      <w:r>
        <w:t xml:space="preserve">The corrected scores are on average higher (mean 713 vs. 666), because each athlete’s best event is now included. Baseline performance now has a modest independent association with retention (OR 1.23 [1.06, 1.42]).</w:t>
      </w:r>
    </w:p>
    <w:p>
      <w:pPr>
        <w:pStyle w:val="BodyText"/>
      </w:pPr>
      <w:r>
        <w:t xml:space="preserve">As requested, Supplementary Methods S-M3 now details the imputation:</w:t>
      </w:r>
    </w:p>
    <w:p>
      <w:pPr>
        <w:pStyle w:val="Compact"/>
        <w:numPr>
          <w:ilvl w:val="0"/>
          <w:numId w:val="1005"/>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5"/>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5"/>
        </w:numPr>
      </w:pPr>
      <w:r>
        <w:rPr>
          <w:b/>
          <w:bCs/>
        </w:rPr>
        <w:t xml:space="preserve">Sex</w:t>
      </w:r>
      <w:r>
        <w:t xml:space="preserve"> </w:t>
      </w:r>
      <w:r>
        <w:t xml:space="preserve">is never imputed, and estimates are pooled with Rubin’s rules.</w:t>
      </w:r>
    </w:p>
    <w:p>
      <w:pPr>
        <w:pStyle w:val="FirstParagraph"/>
      </w:pPr>
      <w:r>
        <w:t xml:space="preserve">Because only four sex-known athletes now lack a score, imputation and complete-case results coincide. To answer the question where it matters, Table S21 also repeats the analysis with the original, incomplete scoring (Tyrving missing for 18.8% of sex-known athletes):</w:t>
      </w:r>
    </w:p>
    <w:p>
      <w:pPr>
        <w:pStyle w:val="Compact"/>
        <w:numPr>
          <w:ilvl w:val="0"/>
          <w:numId w:val="1006"/>
        </w:numPr>
      </w:pPr>
      <w:r>
        <w:t xml:space="preserve">pooled estimates were unchanged (volume OR 2.31 [2.04, 2.61] vs. 2.33 complete-case);</w:t>
      </w:r>
    </w:p>
    <w:p>
      <w:pPr>
        <w:pStyle w:val="Compact"/>
        <w:numPr>
          <w:ilvl w:val="0"/>
          <w:numId w:val="1006"/>
        </w:numPr>
      </w:pPr>
      <w:r>
        <w:t xml:space="preserve">predictive performance was the same as complete-case (CV-AUC 0.746, range 0.740–0.749 across imputations, vs. 0.746).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They were excluded from all regression models (complete-case on sex) and included only in cohort totals and unstratified Kaplan–Meier curves. They also cannot receive Tyrving scores, because the norms are sex-specific. This is now stated in Section 2.4.5 and Supplementary Methods S-M3. Their senior retention was 12.5% (3 of 24). In a sensitivity model that retains them as a separate sex category (without Tyrving), the volume OR was 2.37 [2.10, 2.67] (n = 2,123), against 2.36 [2.09, 2.66] when they are excluded.</w:t>
      </w:r>
    </w:p>
    <w:p>
      <w:pPr>
        <w:pStyle w:val="BodyText"/>
      </w:pPr>
      <w:r>
        <w:rPr>
          <w:i/>
          <w:iCs/>
        </w:rPr>
        <w:t xml:space="preserve">Changes:</w:t>
      </w:r>
      <w:r>
        <w:t xml:space="preserve"> </w:t>
      </w:r>
      <w:r>
        <w:t xml:space="preserve">Section 2.4.5; Supplementary Methods S-M3; Table S12;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84 athletes registered with birth year but no birth date (none of whom retained) had been coded into the reference group; this is now stated. Table S13, Panel B, adds three alternative codings:</w:t>
      </w:r>
    </w:p>
    <w:p>
      <w:pPr>
        <w:pStyle w:val="Compact"/>
        <w:numPr>
          <w:ilvl w:val="0"/>
          <w:numId w:val="1007"/>
        </w:numPr>
      </w:pPr>
      <w:r>
        <w:t xml:space="preserve">Q1/Q4 indicators among athletes with known quarter;</w:t>
      </w:r>
    </w:p>
    <w:p>
      <w:pPr>
        <w:pStyle w:val="Compact"/>
        <w:numPr>
          <w:ilvl w:val="0"/>
          <w:numId w:val="1007"/>
        </w:numPr>
      </w:pPr>
      <w:r>
        <w:t xml:space="preserve">full coding (Q2, Q3, Q4 vs. Q1);</w:t>
      </w:r>
    </w:p>
    <w:p>
      <w:pPr>
        <w:pStyle w:val="Compact"/>
        <w:numPr>
          <w:ilvl w:val="0"/>
          <w:numId w:val="1007"/>
        </w:numPr>
      </w:pPr>
      <w:r>
        <w:t xml:space="preserve">a linear trend.</w:t>
      </w:r>
    </w:p>
    <w:p>
      <w:pPr>
        <w:pStyle w:val="FirstParagraph"/>
      </w:pPr>
      <w:r>
        <w:t xml:space="preserve">Birth quarter was unrelated to retention under every coding (e.g., full coding, likelihood-ratio χ²(3) = 3.24, p = .36), and the volume OR was unchanged (2.20–2.26).</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2.38 in the revision) is per SD of increase. Conditional on the level at 14, this is equivalent to:</w:t>
      </w:r>
    </w:p>
    <w:p>
      <w:pPr>
        <w:pStyle w:val="Compact"/>
        <w:numPr>
          <w:ilvl w:val="0"/>
          <w:numId w:val="1008"/>
        </w:numPr>
      </w:pPr>
      <w:r>
        <w:t xml:space="preserve">OR = 0.42 [0.37, 0.48] for a one-SD (about 6.5 meets) greater decline;</w:t>
      </w:r>
    </w:p>
    <w:p>
      <w:pPr>
        <w:pStyle w:val="Compact"/>
        <w:numPr>
          <w:ilvl w:val="0"/>
          <w:numId w:val="1008"/>
        </w:numPr>
      </w:pPr>
      <w:r>
        <w:t xml:space="preserve">OR = 0.51 for 5 fewer meets.</w:t>
      </w:r>
    </w:p>
    <w:p>
      <w:pPr>
        <w:pStyle w:val="FirstParagraph"/>
      </w:pPr>
      <w:r>
        <w:t xml:space="preserve">The text now states the formula and reports both directions (Sections 2.5.3 and 3.5; Table 4 note). The same applies to the 15→16 change: OR 1.88 per SD increase equals 0.53 [0.45, 0.62] per SD decline (Table S19). Because the model is linear in the logit, it is a re-parameterization of a model with the two levels; the per-meet OR for change equals that for the later level (Table 4 note).</w:t>
      </w:r>
    </w:p>
    <w:p>
      <w:pPr>
        <w:pStyle w:val="BodyText"/>
      </w:pPr>
      <w:r>
        <w:rPr>
          <w:i/>
          <w:iCs/>
        </w:rPr>
        <w:t xml:space="preserve">Changes:</w:t>
      </w:r>
      <w:r>
        <w:t xml:space="preserve"> </w:t>
      </w:r>
      <w:r>
        <w:t xml:space="preserve">Sections 2.5.3 and 3.5;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was below each athlete’s own earlier level by:</w:t>
      </w:r>
    </w:p>
    <w:p>
      <w:pPr>
        <w:pStyle w:val="Compact"/>
        <w:numPr>
          <w:ilvl w:val="0"/>
          <w:numId w:val="1009"/>
        </w:numPr>
      </w:pPr>
      <w:r>
        <w:t xml:space="preserve">7% (95% CI 0–13%) three seasons before the final active season;</w:t>
      </w:r>
    </w:p>
    <w:p>
      <w:pPr>
        <w:pStyle w:val="Compact"/>
        <w:numPr>
          <w:ilvl w:val="0"/>
          <w:numId w:val="1009"/>
        </w:numPr>
      </w:pPr>
      <w:r>
        <w:t xml:space="preserve">12% (5–19%) two seasons before;</w:t>
      </w:r>
    </w:p>
    <w:p>
      <w:pPr>
        <w:pStyle w:val="Compact"/>
        <w:numPr>
          <w:ilvl w:val="0"/>
          <w:numId w:val="1009"/>
        </w:numPr>
      </w:pPr>
      <w:r>
        <w:t xml:space="preserve">24%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Sections 2.5.3, 3.5, 4.1, 4.3, 4.4, 4.9, 4.11; Supplementary Methods S-M6; Table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Section 4.2 is retitled</w:t>
      </w:r>
      <w:r>
        <w:t xml:space="preserve"> </w:t>
      </w:r>
      <w:r>
        <w:t xml:space="preserve">“Competition volume discriminates retention better than performance”</w:t>
      </w:r>
      <w:r>
        <w:t xml:space="preserve">, and the text, the Abstract and Hypothesis 2 (Section 1.3) now refer to discrimination. The only variance-type quantity left is McFadden’s pseudo-R² in Table 4, labelled as such.</w:t>
      </w:r>
    </w:p>
    <w:p>
      <w:pPr>
        <w:pStyle w:val="BodyText"/>
      </w:pPr>
      <w:r>
        <w:rPr>
          <w:i/>
          <w:iCs/>
        </w:rPr>
        <w:t xml:space="preserve">Changes:</w:t>
      </w:r>
      <w:r>
        <w:t xml:space="preserve"> </w:t>
      </w:r>
      <w:r>
        <w:t xml:space="preserve">Abstract; Sections 1.3, 3.6,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every CV-AUC. Differences between models are estimated on identical folds, with CIs and p-values from the corrected resampled t-statistic for repeated cross-validation (Nadeau &amp; Bengio, 2003; Supplementary Methods S-M4; Table S27).</w:t>
      </w:r>
    </w:p>
    <w:p>
      <w:pPr>
        <w:pStyle w:val="Compact"/>
        <w:numPr>
          <w:ilvl w:val="0"/>
          <w:numId w:val="1010"/>
        </w:numPr>
      </w:pPr>
      <w:r>
        <w:rPr>
          <w:b/>
          <w:bCs/>
        </w:rPr>
        <w:t xml:space="preserve">The reviewer’s example</w:t>
      </w:r>
      <w:r>
        <w:t xml:space="preserve"> </w:t>
      </w:r>
      <w:r>
        <w:t xml:space="preserve">is now reported as no difference: adding Tyrving to volume changes the AUC by −0.002 (−0.011 to 0.007).</w:t>
      </w:r>
    </w:p>
    <w:p>
      <w:pPr>
        <w:pStyle w:val="Compact"/>
        <w:numPr>
          <w:ilvl w:val="0"/>
          <w:numId w:val="1010"/>
        </w:numPr>
      </w:pPr>
      <w:r>
        <w:rPr>
          <w:b/>
          <w:bCs/>
        </w:rPr>
        <w:t xml:space="preserve">The comparisons we interpret</w:t>
      </w:r>
      <w:r>
        <w:t xml:space="preserve"> </w:t>
      </w:r>
      <w:r>
        <w:t xml:space="preserve">are clearly non-zero: volume vs. Tyrving measured in the same window, +0.098 (0.063 to 0.133); adding volume to sex + Tyrving + HHI, +0.110 (0.081 to 0.140).</w:t>
      </w:r>
    </w:p>
    <w:p>
      <w:pPr>
        <w:pStyle w:val="Compact"/>
        <w:numPr>
          <w:ilvl w:val="0"/>
          <w:numId w:val="1010"/>
        </w:numPr>
      </w:pPr>
      <w:r>
        <w:rPr>
          <w:b/>
          <w:bCs/>
        </w:rPr>
        <w:t xml:space="preserve">Performance with its within-baseline trajectory</w:t>
      </w:r>
      <w:r>
        <w:t xml:space="preserve"> </w:t>
      </w:r>
      <w:r>
        <w:t xml:space="preserve">narrows the gap to +0.033 (−0.003 to 0.069); the text now says</w:t>
      </w:r>
      <w:r>
        <w:t xml:space="preserve"> </w:t>
      </w:r>
      <w:r>
        <w:t xml:space="preserve">“narrowing but not reversing”</w:t>
      </w:r>
      <w:r>
        <w:t xml:space="preserve"> </w:t>
      </w:r>
      <w:r>
        <w:t xml:space="preserve">rather than</w:t>
      </w:r>
      <w:r>
        <w:t xml:space="preserve"> </w:t>
      </w:r>
      <w:r>
        <w:t xml:space="preserve">“well short of”</w:t>
      </w:r>
      <w:r>
        <w:t xml:space="preserve">.</w:t>
      </w:r>
    </w:p>
    <w:p>
      <w:pPr>
        <w:pStyle w:val="FirstParagraph"/>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1"/>
        </w:numPr>
      </w:pPr>
      <w:r>
        <w:rPr>
          <w:b/>
          <w:bCs/>
        </w:rPr>
        <w:t xml:space="preserve">Capacity rule</w:t>
      </w:r>
      <w:r>
        <w:t xml:space="preserve"> </w:t>
      </w:r>
      <w:r>
        <w:t xml:space="preserve">(pre-specified: flag the lowest volume quartile). Derived in Cohort A, the cut-off is exactly &lt; 10 meets. Applied unchanged to Cohort B, it flagged 24.8% of athletes, whose senior retention was 4.9%, against 21.4% among the unflagged (PPV 0.95, sensitivity 0.29). The reverse direction (cut-off &lt; 11 from Cohort B, applied to Cohort A) gave 6.1% against 20.4%.</w:t>
      </w:r>
    </w:p>
    <w:p>
      <w:pPr>
        <w:pStyle w:val="Compact"/>
        <w:numPr>
          <w:ilvl w:val="0"/>
          <w:numId w:val="1011"/>
        </w:numPr>
      </w:pPr>
      <w:r>
        <w:rPr>
          <w:b/>
          <w:bCs/>
        </w:rPr>
        <w:t xml:space="preserve">Youden-optimal cut-offs</w:t>
      </w:r>
      <w:r>
        <w:t xml:space="preserve"> </w:t>
      </w:r>
      <w:r>
        <w:t xml:space="preserve">also transferred, but select much broader screens (&lt; 21 and &lt; 29 meets, flagging 54–76% of athletes).</w:t>
      </w:r>
    </w:p>
    <w:p>
      <w:pPr>
        <w:pStyle w:val="FirstParagraph"/>
      </w:pPr>
      <w:r>
        <w:t xml:space="preserve">Because both cohorts come from the same register, we describe this as temporal validation within one setting and state that external validation is still required.</w:t>
      </w:r>
    </w:p>
    <w:p>
      <w:pPr>
        <w:pStyle w:val="BodyText"/>
      </w:pPr>
      <w:r>
        <w:rPr>
          <w:i/>
          <w:iCs/>
        </w:rPr>
        <w:t xml:space="preserve">Changes:</w:t>
      </w:r>
      <w:r>
        <w:t xml:space="preserve"> </w:t>
      </w:r>
      <w:r>
        <w:t xml:space="preserve">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2"/>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2"/>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2"/>
        </w:numPr>
      </w:pPr>
      <w:r>
        <w:rPr>
          <w:b/>
          <w:bCs/>
        </w:rPr>
        <w:t xml:space="preserve">Alternative causes:</w:t>
      </w:r>
      <w:r>
        <w:t xml:space="preserve"> </w:t>
      </w:r>
      <w:r>
        <w:t xml:space="preserve">we state explicitly that a decline can also reflect injury, a move to another sport, or school and other time constraints (Sections 1.3, 2.4.4 and 4.2; Figure 1 and its caption).</w:t>
      </w:r>
    </w:p>
    <w:p>
      <w:pPr>
        <w:pStyle w:val="FirstParagraph"/>
      </w:pPr>
      <w:r>
        <w:rPr>
          <w:i/>
          <w:iCs/>
        </w:rPr>
        <w:t xml:space="preserve">Changes:</w:t>
      </w:r>
      <w:r>
        <w:t xml:space="preserve"> </w:t>
      </w:r>
      <w:r>
        <w:t xml:space="preserve">Title; running title; Abstract; Sections 1.3, 2.4.4, 3.5, 4.2, 4.3; Figure 1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7,327 register athletes born 1998–2002 with at least one result at ages 13–14:</w:t>
      </w:r>
    </w:p>
    <w:p>
      <w:pPr>
        <w:pStyle w:val="Compact"/>
        <w:numPr>
          <w:ilvl w:val="0"/>
          <w:numId w:val="1013"/>
        </w:numPr>
      </w:pPr>
      <w:r>
        <w:t xml:space="preserve">the cohort comprises 29% of all athletes;</w:t>
      </w:r>
    </w:p>
    <w:p>
      <w:pPr>
        <w:pStyle w:val="Compact"/>
        <w:numPr>
          <w:ilvl w:val="0"/>
          <w:numId w:val="1013"/>
        </w:numPr>
      </w:pPr>
      <w:r>
        <w:t xml:space="preserve">but 78% of those with ten or more meets at those ages, and 77% of all who later competed as seniors;</w:t>
      </w:r>
    </w:p>
    <w:p>
      <w:pPr>
        <w:pStyle w:val="Compact"/>
        <w:numPr>
          <w:ilvl w:val="0"/>
          <w:numId w:val="1013"/>
        </w:numPr>
      </w:pPr>
      <w:r>
        <w:t xml:space="preserve">the other 5,204 had a median of 2 meets at 13–14 and 2.0% senior retention.</w:t>
      </w:r>
    </w:p>
    <w:p>
      <w:pPr>
        <w:pStyle w:val="FirstParagraph"/>
      </w:pPr>
      <w:r>
        <w:t xml:space="preserve">The cohort is thus the engaged core of the age group, not all youth athletes. Among athletes outside the cohort, volume was also associated with retention (OR 2.07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4"/>
        </w:numPr>
      </w:pPr>
      <w:r>
        <w:t xml:space="preserve">11.8% of athletes had an inactive season followed by a return;</w:t>
      </w:r>
    </w:p>
    <w:p>
      <w:pPr>
        <w:pStyle w:val="Compact"/>
        <w:numPr>
          <w:ilvl w:val="0"/>
          <w:numId w:val="1014"/>
        </w:numPr>
      </w:pPr>
      <w:r>
        <w:t xml:space="preserve">4.5% had a gap of two or more seasons followed by a return;</w:t>
      </w:r>
    </w:p>
    <w:p>
      <w:pPr>
        <w:pStyle w:val="Compact"/>
        <w:numPr>
          <w:ilvl w:val="0"/>
          <w:numId w:val="1014"/>
        </w:numPr>
      </w:pPr>
      <w:r>
        <w:t xml:space="preserve">of athletes who missed two consecutive seasons (before 2020), 4.4% ever returned.</w:t>
      </w:r>
    </w:p>
    <w:p>
      <w:pPr>
        <w:pStyle w:val="FirstParagraph"/>
      </w:pPr>
      <w:r>
        <w:t xml:space="preserve">Re-estimating the baseline-only Cox model with definitions that do not use later returns gave the same result. The volume HR per SD was 0.54 for the final active season, 0.51 for the first two-season gap, and 0.50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about 6,550</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supplementary figure</w:t>
            </w:r>
          </w:p>
        </w:tc>
        <w:tc>
          <w:tcPr/>
          <w:p>
            <w:pPr>
              <w:pStyle w:val="Compact"/>
            </w:pPr>
            <w:r>
              <w:t xml:space="preserve">1 (S5)</w:t>
            </w:r>
          </w:p>
        </w:tc>
      </w:tr>
      <w:tr>
        <w:tc>
          <w:tcPr/>
          <w:p>
            <w:pPr>
              <w:pStyle w:val="Compact"/>
            </w:pPr>
            <w:r>
              <w:t xml:space="preserve">Revised main tables</w:t>
            </w:r>
          </w:p>
        </w:tc>
        <w:tc>
          <w:tcPr/>
          <w:p>
            <w:pPr>
              <w:pStyle w:val="Compact"/>
            </w:pPr>
            <w:r>
              <w:t xml:space="preserve">Tables 1, 3, 4, 5, 6 (note), 7</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2026-10-01T21:59:04Z</dcterms:created>
  <dcterms:modified xsi:type="dcterms:W3CDTF">2026-10-01T21:59:04Z</dcterms:modified>
</cp:coreProperties>
</file>

<file path=docProps/custom.xml><?xml version="1.0" encoding="utf-8"?>
<Properties xmlns="http://schemas.openxmlformats.org/officeDocument/2006/custom-properties" xmlns:vt="http://schemas.openxmlformats.org/officeDocument/2006/docPropsVTypes"/>
</file>