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2"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from baseline to last active season using Cox proportional hazards regression with Efron’s tie-handling (Efron, 1977), implemented in lifelines (Davidson-Pilon, 2019). The primary Cox specification (Supplementary Table S16) contains a baseline-only predictor set. We additionally estimated (a) a landmark analysis (van Houwelingen, 2007) restricted to athletes active at age 16 (≥1 registered result; n = 1,167, complete-case n = 1,153; Supplementary Table S8), and (b) a post-baseline Cox specification with ages-15–16 covariates (Table 5 gives the period-specific decomposition; Supplementary Figures S1 and S4 give its calibration and forest plots, and Supplementary Tables S6 and S10 the HHI-stratified and pre-milestone-only variants); the latter is interpreted with caveats about operational overlap between predictor and outcome windows. Two properties of the landmark analysis deserve note. First, the activity criterion at the landmark is ≥1 result (rather than the ≥2 used for active seasons) so that the conditioning event is minimal presence, not the outcome construct itself.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1,934 Cox events at α = .05 and 80% power yield HR_min ≈ 1.07 per SD (≈ 1.15 for a balanced binary covariate); the omitted variance-inflation factor for covariate correlation would move this only trivially (to ≈ 1.08 at ρ ≈ .3–.45). For the primary logistic analysis (n = 2,095, 344 retainers), simulation (300 replicates per grid point, Wald test) gives a minimum detectable odds ratio of ≈ 1.20 per SD at 80% power.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45 rather than 28 athletes without a baseline score and gives volume OR 2.23 [1.96, 2.52], Tyrving OR 1.28 [1.11, 1.48], and CV-AUC 0.746, essentially unchanged). Race-walk and middle-distance times recorded in minutes.seconds format are converted before scoring. With this scoring, 97.9% of baseline-meet results receive a score.</w:t>
      </w:r>
    </w:p>
    <w:p>
      <w:pPr>
        <w:pStyle w:val="BodyText"/>
      </w:pPr>
      <w:r>
        <w:rPr>
          <w:i/>
          <w:iCs/>
        </w:rPr>
        <w:t xml:space="preserve">Missing data.</w:t>
      </w:r>
      <w:r>
        <w:t xml:space="preserve"> </w:t>
      </w:r>
      <w:r>
        <w:t xml:space="preserve">Baseline Tyrving is missing for 28 athletes (1.3%): 24 without registered sex (sex-specific norms cannot be applied), 2 without baseline-meet results in the career extract, and 2 whose baseline implements do not match the table row for their registered sex and age (probable registration errors). HHI, volume and the outcome are complete. The primary analysis is therefore complete-case (n = 2,095);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24 athletes without registered sex are excluded beforehand, n = 2,099).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Because only four sex-known athletes lack a score under the revised scoring, imputation and complete-case analysis coincide. Supplementary Table S21 therefore also reports the same procedures on the original, incomplete scoring (Tyrving missing for 395 of 2,099 sex-known athletes, 18.8%), where imputation matters: pooled estimates (volume OR 2.31 [2.04, 2.61] with the outcome-including model; 2.30 [2.03, 2.60] with auxiliary variables) and predictive performance (CV-AUC 0.746, range 0.740–0.749 across imputations) were the same as complete-case (2.33 [2.02, 2.68]; CV-AUC 0.746). Mean imputation (Supplementary Table S5) and cluster-robust standard errors at the club level (Supplementary Table S2) give the same picture.</w:t>
      </w:r>
    </w:p>
    <w:p>
      <w:pPr>
        <w:pStyle w:val="BodyText"/>
      </w:pPr>
      <w:r>
        <w:rPr>
          <w:i/>
          <w:iCs/>
        </w:rPr>
        <w:t xml:space="preserve">Athletes without registered sex.</w:t>
      </w:r>
      <w:r>
        <w:t xml:space="preserve"> </w:t>
      </w:r>
      <w:r>
        <w:t xml:space="preserve">The register records sex as a binary variable; 24 cohort athletes (1.1%) have none. They are excluded from all regression models, which condition on sex, and from Tyrving scoring, but included in cohort totals and unstratified Kaplan–Meier curves. Their senior retention was 12.5% (3 of 24) and their median pre-milestone volume 16 meets. In a sensitivity model without Tyrving that retains them as a separate sex category (n = 2,123), the volume OR was 2.37 [2.10, 2.67], versus 2.36 [2.09, 2.66] when they are excluded (n = 2,099).</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2,123)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(16.4%), the primary odds ratio is first converted to an approximate risk ratio via RR ≈ √OR before applying E = RR + √(RR(RR − 1)): OR 2.25 → RR ≈ 1.50 → E ≈ 2.4 (CI bound 2.2). The baseline-only Cox hazard ratio (0.54 per SD) is converted with the common-outcome formula RR ≈ (1 − 0.5^√HR)/(1 − 0.5^√(1/HR)), giving E ≈ 2.4.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1,139; ages outside 13–19 are unobserved in the per-age panel), we report median volumes at T−3, T−2, T−1, and T, the share still competing (&gt;0 meets) in the penultimate season, and, among dropouts with final seasons at 16+ (n = 795,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1,075):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distinct meets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(1,897 athletes and 8,447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Combined events appear in the register both as a total and as separate constituent results; constituents are counted in their natural categories (multi-event athletes register as diversified; stand-alone combined rows &lt;0.1%).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(September 2026 version) every athlete born 1998–2002 with at least one result at ages 13–14 (n = 7,327) and computed, from the same register rows for cohort members and non-members alike, the number of distinct meets at ages 13–14 and senior status (≥2 results in a calendar year at age 20 or later). Senior status agreed with the analysis dataset for 99.7% of cohort members (the six discrepancies reflect register updates after April 2026). Because the baseline meet is stored in more than one register row, the raw meet counts for cohort members are on average 2.5 meets higher than the de-duplicated counts used in the main analyses; the comparison of cohort and non-cohort athletes in Supplementary Table S31 is therefore indicative. The sex-adjusted association between volume and senior status was estimated per 10 meets, with repeated cross-validated AUC.</w:t>
      </w:r>
    </w:p>
    <w:bookmarkEnd w:id="20"/>
    <w:bookmarkStart w:id="21"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1"/>
    <w:bookmarkEnd w:id="22"/>
    <w:bookmarkStart w:id="55" w:name="supplementary-tables"/>
    <w:p>
      <w:pPr>
        <w:pStyle w:val="Heading1"/>
      </w:pPr>
      <w:r>
        <w:t xml:space="preserve">Supplementary Tables</w:t>
      </w:r>
    </w:p>
    <w:bookmarkStart w:id="23"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3.15</w:t>
            </w:r>
          </w:p>
        </w:tc>
        <w:tc>
          <w:tcPr/>
          <w:p>
            <w:pPr>
              <w:pStyle w:val="Compact"/>
            </w:pPr>
            <w:r>
              <w:t xml:space="preserve">.076</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13.64</w:t>
            </w:r>
          </w:p>
        </w:tc>
        <w:tc>
          <w:tcPr/>
          <w:p>
            <w:pPr>
              <w:pStyle w:val="Compact"/>
            </w:pPr>
            <w:r>
              <w:t xml:space="preserve">&lt; .001</w:t>
            </w:r>
          </w:p>
        </w:tc>
      </w:tr>
      <w:tr>
        <w:tc>
          <w:tcPr/>
          <w:p>
            <w:pPr>
              <w:pStyle w:val="Compact"/>
            </w:pPr>
            <w:r>
              <w:t xml:space="preserve">Volume at age 15–16 (z)</w:t>
            </w:r>
          </w:p>
        </w:tc>
        <w:tc>
          <w:tcPr/>
          <w:p>
            <w:pPr>
              <w:pStyle w:val="Compact"/>
            </w:pPr>
            <w:r>
              <w:t xml:space="preserve">277.09</w:t>
            </w:r>
          </w:p>
        </w:tc>
        <w:tc>
          <w:tcPr/>
          <w:p>
            <w:pPr>
              <w:pStyle w:val="Compact"/>
            </w:pPr>
            <w:r>
              <w:t xml:space="preserve">&lt; .001</w:t>
            </w:r>
          </w:p>
        </w:tc>
      </w:tr>
      <w:tr>
        <w:tc>
          <w:tcPr/>
          <w:p>
            <w:pPr>
              <w:pStyle w:val="Compact"/>
            </w:pPr>
            <w:r>
              <w:t xml:space="preserve">Championship types</w:t>
            </w:r>
          </w:p>
        </w:tc>
        <w:tc>
          <w:tcPr/>
          <w:p>
            <w:pPr>
              <w:pStyle w:val="Compact"/>
            </w:pPr>
            <w:r>
              <w:t xml:space="preserve">13.87</w:t>
            </w:r>
          </w:p>
        </w:tc>
        <w:tc>
          <w:tcPr/>
          <w:p>
            <w:pPr>
              <w:pStyle w:val="Compact"/>
            </w:pPr>
            <w:r>
              <w:t xml:space="preserve">&lt; .001</w:t>
            </w:r>
          </w:p>
        </w:tc>
      </w:tr>
    </w:tbl>
    <w:p>
      <w:r>
        <w:pict>
          <v:rect style="width:0;height:1.5pt" o:hralign="center" o:hrstd="t" o:hr="t"/>
        </w:pict>
      </w:r>
    </w:p>
    <w:bookmarkEnd w:id="23"/>
    <w:bookmarkStart w:id="24"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1.11</w:t>
            </w:r>
          </w:p>
        </w:tc>
        <w:tc>
          <w:tcPr/>
          <w:p>
            <w:pPr>
              <w:pStyle w:val="Compact"/>
            </w:pPr>
            <w:r>
              <w:t xml:space="preserve">[0.98, 1.27]</w:t>
            </w:r>
          </w:p>
        </w:tc>
        <w:tc>
          <w:tcPr/>
          <w:p>
            <w:pPr>
              <w:pStyle w:val="Compact"/>
            </w:pPr>
            <w:r>
              <w:t xml:space="preserve">.109</w:t>
            </w:r>
          </w:p>
        </w:tc>
      </w:tr>
      <w:tr>
        <w:tc>
          <w:tcPr/>
          <w:p>
            <w:pPr>
              <w:pStyle w:val="Compact"/>
            </w:pPr>
            <w:r>
              <w:t xml:space="preserve">Tyrving (z)</w:t>
            </w:r>
          </w:p>
        </w:tc>
        <w:tc>
          <w:tcPr/>
          <w:p>
            <w:pPr>
              <w:pStyle w:val="Compact"/>
            </w:pPr>
            <w:r>
              <w:t xml:space="preserve">1.01</w:t>
            </w:r>
          </w:p>
        </w:tc>
        <w:tc>
          <w:tcPr/>
          <w:p>
            <w:pPr>
              <w:pStyle w:val="Compact"/>
            </w:pPr>
            <w:r>
              <w:t xml:space="preserve">[0.95, 1.08]</w:t>
            </w:r>
          </w:p>
        </w:tc>
        <w:tc>
          <w:tcPr/>
          <w:p>
            <w:pPr>
              <w:pStyle w:val="Compact"/>
            </w:pPr>
            <w:r>
              <w:t xml:space="preserve">.686</w:t>
            </w:r>
          </w:p>
        </w:tc>
      </w:tr>
      <w:tr>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.505</w:t>
            </w:r>
          </w:p>
        </w:tc>
      </w:tr>
      <w:tr>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r>
              <w:t xml:space="preserve">Championship types</w:t>
            </w:r>
          </w:p>
        </w:tc>
        <w:tc>
          <w:tcPr/>
          <w:p>
            <w:pPr>
              <w:pStyle w:val="Compact"/>
            </w:pPr>
            <w:r>
              <w:t xml:space="preserve">0.73</w:t>
            </w:r>
          </w:p>
        </w:tc>
        <w:tc>
          <w:tcPr/>
          <w:p>
            <w:pPr>
              <w:pStyle w:val="Compact"/>
            </w:pPr>
            <w:r>
              <w:t xml:space="preserve">[0.67, 0.80]</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p>
    <w:p>
      <w:r>
        <w:pict>
          <v:rect style="width:0;height:1.5pt" o:hralign="center" o:hrstd="t" o:hr="t"/>
        </w:pict>
      </w:r>
    </w:p>
    <w:bookmarkEnd w:id="24"/>
    <w:bookmarkStart w:id="25"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2.25 [1.99, 2.55]</w:t>
            </w:r>
          </w:p>
        </w:tc>
        <w:tc>
          <w:tcPr/>
          <w:p>
            <w:pPr>
              <w:pStyle w:val="Compact"/>
            </w:pPr>
            <w:r>
              <w:t xml:space="preserve">1.50</w:t>
            </w:r>
          </w:p>
        </w:tc>
        <w:tc>
          <w:tcPr/>
          <w:p>
            <w:pPr>
              <w:pStyle w:val="Compact"/>
            </w:pPr>
            <w:r>
              <w:t xml:space="preserve">2.37</w:t>
            </w:r>
          </w:p>
        </w:tc>
        <w:tc>
          <w:tcPr/>
          <w:p>
            <w:pPr>
              <w:pStyle w:val="Compact"/>
            </w:pPr>
            <w:r>
              <w:t xml:space="preserve">2.17</w:t>
            </w:r>
          </w:p>
        </w:tc>
      </w:tr>
      <w:tr>
        <w:tc>
          <w:tcPr/>
          <w:p>
            <w:pPr>
              <w:pStyle w:val="Compact"/>
            </w:pPr>
            <w:r>
              <w:t xml:space="preserve">Pre-milestone volume, baseline-only Cox (per SD)</w:t>
            </w:r>
          </w:p>
        </w:tc>
        <w:tc>
          <w:tcPr/>
          <w:p>
            <w:pPr>
              <w:pStyle w:val="Compact"/>
            </w:pPr>
            <w:r>
              <w:t xml:space="preserve">HR 0.54</w:t>
            </w:r>
          </w:p>
        </w:tc>
        <w:tc>
          <w:tcPr/>
          <w:p>
            <w:pPr>
              <w:pStyle w:val="Compact"/>
            </w:pPr>
            <w:r>
              <w:t xml:space="preserve">1.54</w:t>
            </w:r>
          </w:p>
        </w:tc>
        <w:tc>
          <w:tcPr/>
          <w:p>
            <w:pPr>
              <w:pStyle w:val="Compact"/>
            </w:pPr>
            <w:r>
              <w:t xml:space="preserve">2.44</w:t>
            </w:r>
          </w:p>
        </w:tc>
        <w:tc>
          <w:tcPr/>
          <w:p>
            <w:pPr>
              <w:pStyle w:val="Compact"/>
            </w:pPr>
            <w:r>
              <w:t xml:space="preserve">—</w:t>
            </w:r>
          </w:p>
        </w:tc>
      </w:tr>
    </w:tbl>
    <w:p>
      <w:pPr>
        <w:pStyle w:val="BodyText"/>
      </w:pPr>
      <w:r>
        <w:rPr>
          <w:i/>
          <w:iCs/>
        </w:rPr>
        <w:t xml:space="preserve">Note.</w:t>
      </w:r>
      <w:r>
        <w:t xml:space="preserve"> </w:t>
      </w:r>
      <w:r>
        <w:t xml:space="preserve">Because the outcome is common (16.4%), the odds ratio is converted to an approximate risk ratio (RR ≈ √OR) before computing E = RR + √(RR(RR − 1)); the hazard ratio uses the common-outcome conversion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5"/>
    <w:bookmarkStart w:id="26" w:name="X51a846a8f036607c4d86aa6dc40dff1f8e38e62"/>
    <w:p>
      <w:pPr>
        <w:pStyle w:val="Heading2"/>
      </w:pPr>
      <w:r>
        <w:t xml:space="preserve">Table S4. Sample-size sensitivity: minimum detectable HR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pPr>
            <w:r>
              <w:t xml:space="preserve">N</w:t>
            </w:r>
          </w:p>
        </w:tc>
        <w:tc>
          <w:tcPr/>
          <w:p>
            <w:pPr>
              <w:pStyle w:val="Compact"/>
            </w:pPr>
            <w:r>
              <w:t xml:space="preserve">Events</w:t>
            </w:r>
          </w:p>
        </w:tc>
        <w:tc>
          <w:tcPr/>
          <w:p>
            <w:pPr>
              <w:pStyle w:val="Compact"/>
            </w:pPr>
            <w:r>
              <w:t xml:space="preserve">Min. detectable HR (80% power, α = .05)</w:t>
            </w:r>
          </w:p>
        </w:tc>
      </w:tr>
      <w:tr>
        <w:tc>
          <w:tcPr/>
          <w:p>
            <w:pPr>
              <w:pStyle w:val="Compact"/>
            </w:pPr>
            <w:r>
              <w:t xml:space="preserve">Combined</w:t>
            </w:r>
          </w:p>
        </w:tc>
        <w:tc>
          <w:tcPr/>
          <w:p>
            <w:pPr>
              <w:pStyle w:val="Compact"/>
            </w:pPr>
            <w:r>
              <w:t xml:space="preserve">2,095</w:t>
            </w:r>
          </w:p>
        </w:tc>
        <w:tc>
          <w:tcPr/>
          <w:p>
            <w:pPr>
              <w:pStyle w:val="Compact"/>
            </w:pPr>
            <w:r>
              <w:t xml:space="preserve">1,934</w:t>
            </w:r>
          </w:p>
        </w:tc>
        <w:tc>
          <w:tcPr/>
          <w:p>
            <w:pPr>
              <w:pStyle w:val="Compact"/>
            </w:pPr>
            <w:r>
              <w:t xml:space="preserve">1.07</w:t>
            </w:r>
          </w:p>
        </w:tc>
      </w:tr>
      <w:tr>
        <w:tc>
          <w:tcPr/>
          <w:p>
            <w:pPr>
              <w:pStyle w:val="Compact"/>
            </w:pPr>
            <w:r>
              <w:t xml:space="preserve">1998–2000</w:t>
            </w:r>
          </w:p>
        </w:tc>
        <w:tc>
          <w:tcPr/>
          <w:p>
            <w:pPr>
              <w:pStyle w:val="Compact"/>
            </w:pPr>
            <w:r>
              <w:t xml:space="preserve">1,286</w:t>
            </w:r>
          </w:p>
        </w:tc>
        <w:tc>
          <w:tcPr/>
          <w:p>
            <w:pPr>
              <w:pStyle w:val="Compact"/>
            </w:pPr>
            <w:r>
              <w:t xml:space="preserve">1,212</w:t>
            </w:r>
          </w:p>
        </w:tc>
        <w:tc>
          <w:tcPr/>
          <w:p>
            <w:pPr>
              <w:pStyle w:val="Compact"/>
            </w:pPr>
            <w:r>
              <w:t xml:space="preserve">1.08</w:t>
            </w:r>
          </w:p>
        </w:tc>
      </w:tr>
      <w:tr>
        <w:tc>
          <w:tcPr/>
          <w:p>
            <w:pPr>
              <w:pStyle w:val="Compact"/>
            </w:pPr>
            <w:r>
              <w:t xml:space="preserve">2001–2002</w:t>
            </w:r>
          </w:p>
        </w:tc>
        <w:tc>
          <w:tcPr/>
          <w:p>
            <w:pPr>
              <w:pStyle w:val="Compact"/>
            </w:pPr>
            <w:r>
              <w:t xml:space="preserve">809</w:t>
            </w:r>
          </w:p>
        </w:tc>
        <w:tc>
          <w:tcPr/>
          <w:p>
            <w:pPr>
              <w:pStyle w:val="Compact"/>
            </w:pPr>
            <w:r>
              <w:t xml:space="preserve">722</w:t>
            </w:r>
          </w:p>
        </w:tc>
        <w:tc>
          <w:tcPr/>
          <w:p>
            <w:pPr>
              <w:pStyle w:val="Compact"/>
            </w:pPr>
            <w:r>
              <w:t xml:space="preserve">1.11</w:t>
            </w:r>
          </w:p>
        </w:tc>
      </w:tr>
    </w:tbl>
    <w:p>
      <w:r>
        <w:pict>
          <v:rect style="width:0;height:1.5pt" o:hralign="center" o:hrstd="t" o:hr="t"/>
        </w:pict>
      </w:r>
    </w:p>
    <w:bookmarkEnd w:id="26"/>
    <w:bookmarkStart w:id="27"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1.11</w:t>
            </w:r>
          </w:p>
        </w:tc>
        <w:tc>
          <w:tcPr/>
          <w:p>
            <w:pPr>
              <w:pStyle w:val="Compact"/>
            </w:pPr>
            <w:r>
              <w:t xml:space="preserve">1.11</w:t>
            </w:r>
          </w:p>
        </w:tc>
      </w:tr>
      <w:tr>
        <w:tc>
          <w:tcPr/>
          <w:p>
            <w:pPr>
              <w:pStyle w:val="Compact"/>
            </w:pPr>
            <w:r>
              <w:t xml:space="preserve">Tyrving (z)</w:t>
            </w:r>
          </w:p>
        </w:tc>
        <w:tc>
          <w:tcPr/>
          <w:p>
            <w:pPr>
              <w:pStyle w:val="Compact"/>
            </w:pPr>
            <w:r>
              <w:t xml:space="preserve">1.01</w:t>
            </w:r>
          </w:p>
        </w:tc>
        <w:tc>
          <w:tcPr/>
          <w:p>
            <w:pPr>
              <w:pStyle w:val="Compact"/>
            </w:pPr>
            <w:r>
              <w:t xml:space="preserve">1.01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0.73</w:t>
            </w:r>
          </w:p>
        </w:tc>
        <w:tc>
          <w:tcPr/>
          <w:p>
            <w:pPr>
              <w:pStyle w:val="Compact"/>
            </w:pPr>
            <w:r>
              <w:t xml:space="preserve">0.73</w:t>
            </w:r>
          </w:p>
        </w:tc>
      </w:tr>
      <w:tr>
        <w:tc>
          <w:tcPr/>
          <w:p>
            <w:pPr>
              <w:pStyle w:val="Compact"/>
            </w:pPr>
            <w:r>
              <w:t xml:space="preserve">n</w:t>
            </w:r>
          </w:p>
        </w:tc>
        <w:tc>
          <w:tcPr/>
          <w:p>
            <w:pPr>
              <w:pStyle w:val="Compact"/>
            </w:pPr>
            <w:r>
              <w:t xml:space="preserve">2,095</w:t>
            </w:r>
          </w:p>
        </w:tc>
        <w:tc>
          <w:tcPr/>
          <w:p>
            <w:pPr>
              <w:pStyle w:val="Compact"/>
            </w:pPr>
            <w:r>
              <w:t xml:space="preserve">2,123</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p>
    <w:p>
      <w:r>
        <w:pict>
          <v:rect style="width:0;height:1.5pt" o:hralign="center" o:hrstd="t" o:hr="t"/>
        </w:pict>
      </w:r>
    </w:p>
    <w:bookmarkEnd w:id="27"/>
    <w:bookmarkStart w:id="28"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1.11</w:t>
            </w:r>
          </w:p>
        </w:tc>
        <w:tc>
          <w:tcPr/>
          <w:p>
            <w:pPr>
              <w:pStyle w:val="Compact"/>
            </w:pPr>
            <w:r>
              <w:t xml:space="preserve">.025</w:t>
            </w:r>
          </w:p>
        </w:tc>
      </w:tr>
      <w:tr>
        <w:tc>
          <w:tcPr/>
          <w:p>
            <w:pPr>
              <w:pStyle w:val="Compact"/>
            </w:pPr>
            <w:r>
              <w:t xml:space="preserve">Tyrving (z)</w:t>
            </w:r>
          </w:p>
        </w:tc>
        <w:tc>
          <w:tcPr/>
          <w:p>
            <w:pPr>
              <w:pStyle w:val="Compact"/>
            </w:pPr>
            <w:r>
              <w:t xml:space="preserve">1.01</w:t>
            </w:r>
          </w:p>
        </w:tc>
        <w:tc>
          <w:tcPr/>
          <w:p>
            <w:pPr>
              <w:pStyle w:val="Compact"/>
            </w:pPr>
            <w:r>
              <w:t xml:space="preserve">.723</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0.74</w:t>
            </w:r>
          </w:p>
        </w:tc>
        <w:tc>
          <w:tcPr/>
          <w:p>
            <w:pPr>
              <w:pStyle w:val="Compact"/>
            </w:pPr>
            <w:r>
              <w:t xml:space="preserve">&lt; .001</w:t>
            </w:r>
          </w:p>
        </w:tc>
      </w:tr>
    </w:tbl>
    <w:p>
      <w:r>
        <w:pict>
          <v:rect style="width:0;height:1.5pt" o:hralign="center" o:hrstd="t" o:hr="t"/>
        </w:pict>
      </w:r>
    </w:p>
    <w:bookmarkEnd w:id="28"/>
    <w:bookmarkStart w:id="29"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993</w:t>
            </w:r>
          </w:p>
        </w:tc>
        <w:tc>
          <w:tcPr/>
          <w:p>
            <w:pPr>
              <w:pStyle w:val="Compact"/>
            </w:pPr>
            <w:r>
              <w:t xml:space="preserve">Tyrving (z)</w:t>
            </w:r>
          </w:p>
        </w:tc>
        <w:tc>
          <w:tcPr/>
          <w:p>
            <w:pPr>
              <w:pStyle w:val="Compact"/>
            </w:pPr>
            <w:r>
              <w:t xml:space="preserve">1.06</w:t>
            </w:r>
          </w:p>
        </w:tc>
        <w:tc>
          <w:tcPr/>
          <w:p>
            <w:pPr>
              <w:pStyle w:val="Compact"/>
            </w:pPr>
            <w:r>
              <w:t xml:space="preserve">[0.99, 1.12]</w:t>
            </w:r>
          </w:p>
        </w:tc>
        <w:tc>
          <w:tcPr/>
          <w:p>
            <w:pPr>
              <w:pStyle w:val="Compact"/>
            </w:pPr>
            <w:r>
              <w:t xml:space="preserve">.090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.612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[0.39,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1,102</w:t>
            </w:r>
          </w:p>
        </w:tc>
        <w:tc>
          <w:tcPr/>
          <w:p>
            <w:pPr>
              <w:pStyle w:val="Compact"/>
            </w:pPr>
            <w:r>
              <w:t xml:space="preserve">Tyrving (z)</w:t>
            </w:r>
          </w:p>
        </w:tc>
        <w:tc>
          <w:tcPr/>
          <w:p>
            <w:pPr>
              <w:pStyle w:val="Compact"/>
            </w:pPr>
            <w:r>
              <w:t xml:space="preserve">0.95</w:t>
            </w:r>
          </w:p>
        </w:tc>
        <w:tc>
          <w:tcPr/>
          <w:p>
            <w:pPr>
              <w:pStyle w:val="Compact"/>
            </w:pPr>
            <w:r>
              <w:t xml:space="preserve">[0.89, 1.02]</w:t>
            </w:r>
          </w:p>
        </w:tc>
        <w:tc>
          <w:tcPr/>
          <w:p>
            <w:pPr>
              <w:pStyle w:val="Compact"/>
            </w:pPr>
            <w:r>
              <w:t xml:space="preserve">.137</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0.97</w:t>
            </w:r>
          </w:p>
        </w:tc>
        <w:tc>
          <w:tcPr/>
          <w:p>
            <w:pPr>
              <w:pStyle w:val="Compact"/>
            </w:pPr>
            <w:r>
              <w:t xml:space="preserve">[0.91, 1.04]</w:t>
            </w:r>
          </w:p>
        </w:tc>
        <w:tc>
          <w:tcPr/>
          <w:p>
            <w:pPr>
              <w:pStyle w:val="Compact"/>
            </w:pPr>
            <w:r>
              <w:t xml:space="preserve">.362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0.81</w:t>
            </w:r>
          </w:p>
        </w:tc>
        <w:tc>
          <w:tcPr/>
          <w:p>
            <w:pPr>
              <w:pStyle w:val="Compact"/>
            </w:pPr>
            <w:r>
              <w:t xml:space="preserve">[0.74, 0.89]</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0.847 (male) and 0.846 (female). The dominant behavioral covariate is near-identical across sexes (volume HR 0.44 vs 0.45).</w:t>
      </w:r>
    </w:p>
    <w:p>
      <w:r>
        <w:pict>
          <v:rect style="width:0;height:1.5pt" o:hralign="center" o:hrstd="t" o:hr="t"/>
        </w:pict>
      </w:r>
    </w:p>
    <w:bookmarkEnd w:id="29"/>
    <w:bookmarkStart w:id="30" w:name="X878d9f2c57ab1119cc6de90b81f42c987f5ce49"/>
    <w:p>
      <w:pPr>
        <w:pStyle w:val="Heading2"/>
      </w:pPr>
      <w:r>
        <w:t xml:space="preserve">Table S8. Landmark analysis at age 16 (post-baseline Cox, n = 1,167)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1.29</w:t>
            </w:r>
          </w:p>
        </w:tc>
        <w:tc>
          <w:tcPr/>
          <w:p>
            <w:pPr>
              <w:pStyle w:val="Compact"/>
            </w:pPr>
            <w:r>
              <w:t xml:space="preserve">[1.13, 1.46]</w:t>
            </w:r>
          </w:p>
        </w:tc>
        <w:tc>
          <w:tcPr/>
          <w:p>
            <w:pPr>
              <w:pStyle w:val="Compact"/>
            </w:pPr>
            <w:r>
              <w:t xml:space="preserve">&lt; .001</w:t>
            </w:r>
          </w:p>
        </w:tc>
      </w:tr>
      <w:tr>
        <w:tc>
          <w:tcPr/>
          <w:p>
            <w:pPr>
              <w:pStyle w:val="Compact"/>
            </w:pPr>
            <w:r>
              <w:t xml:space="preserve">Tyrving (z)</w:t>
            </w:r>
          </w:p>
        </w:tc>
        <w:tc>
          <w:tcPr/>
          <w:p>
            <w:pPr>
              <w:pStyle w:val="Compact"/>
            </w:pPr>
            <w:r>
              <w:t xml:space="preserve">1.00</w:t>
            </w:r>
          </w:p>
        </w:tc>
        <w:tc>
          <w:tcPr/>
          <w:p>
            <w:pPr>
              <w:pStyle w:val="Compact"/>
            </w:pPr>
            <w:r>
              <w:t xml:space="preserve">[0.94, 1.07]</w:t>
            </w:r>
          </w:p>
        </w:tc>
        <w:tc>
          <w:tcPr/>
          <w:p>
            <w:pPr>
              <w:pStyle w:val="Compact"/>
            </w:pPr>
            <w:r>
              <w:t xml:space="preserve">.896</w:t>
            </w:r>
          </w:p>
        </w:tc>
      </w:tr>
      <w:tr>
        <w:tc>
          <w:tcPr/>
          <w:p>
            <w:pPr>
              <w:pStyle w:val="Compact"/>
            </w:pPr>
            <w:r>
              <w:t xml:space="preserve">HHI, ages 13–14 (z)</w:t>
            </w:r>
          </w:p>
        </w:tc>
        <w:tc>
          <w:tcPr/>
          <w:p>
            <w:pPr>
              <w:pStyle w:val="Compact"/>
            </w:pPr>
            <w:r>
              <w:t xml:space="preserve">0.94</w:t>
            </w:r>
          </w:p>
        </w:tc>
        <w:tc>
          <w:tcPr/>
          <w:p>
            <w:pPr>
              <w:pStyle w:val="Compact"/>
            </w:pPr>
            <w:r>
              <w:t xml:space="preserve">[0.88, 1.00]</w:t>
            </w:r>
          </w:p>
        </w:tc>
        <w:tc>
          <w:tcPr/>
          <w:p>
            <w:pPr>
              <w:pStyle w:val="Compact"/>
            </w:pPr>
            <w:r>
              <w:t xml:space="preserve">.070</w:t>
            </w:r>
          </w:p>
        </w:tc>
      </w:tr>
      <w:tr>
        <w:tc>
          <w:tcPr/>
          <w:p>
            <w:pPr>
              <w:pStyle w:val="Compact"/>
            </w:pPr>
            <w:r>
              <w:rPr>
                <w:b/>
                <w:bCs/>
              </w:rPr>
              <w:t xml:space="preserve">Volume at age 15–16 (z)</w:t>
            </w:r>
          </w:p>
        </w:tc>
        <w:tc>
          <w:tcPr/>
          <w:p>
            <w:pPr>
              <w:pStyle w:val="Compact"/>
            </w:pPr>
            <w:r>
              <w:t xml:space="preserve">0.60</w:t>
            </w:r>
          </w:p>
        </w:tc>
        <w:tc>
          <w:tcPr/>
          <w:p>
            <w:pPr>
              <w:pStyle w:val="Compact"/>
            </w:pPr>
            <w:r>
              <w:t xml:space="preserve">[0.55, 0.66]</w:t>
            </w:r>
          </w:p>
        </w:tc>
        <w:tc>
          <w:tcPr/>
          <w:p>
            <w:pPr>
              <w:pStyle w:val="Compact"/>
            </w:pPr>
            <w: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0.86]</w:t>
            </w:r>
          </w:p>
        </w:tc>
        <w:tc>
          <w:tcPr/>
          <w:p>
            <w:pPr>
              <w:pStyle w:val="Compact"/>
            </w:pPr>
            <w:r>
              <w:t xml:space="preserve">&lt; .001</w:t>
            </w:r>
          </w:p>
        </w:tc>
      </w:tr>
      <w:tr>
        <w:tc>
          <w:tcPr/>
          <w:p>
            <w:pPr>
              <w:pStyle w:val="Compact"/>
            </w:pPr>
            <w:r>
              <w:t xml:space="preserve">n complete</w:t>
            </w:r>
          </w:p>
        </w:tc>
        <w:tc>
          <w:tcPr/>
          <w:p>
            <w:pPr>
              <w:pStyle w:val="Compact"/>
            </w:pPr>
            <w:r>
              <w:t xml:space="preserve">1,153</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with ≥1 registered result at age 16, with follow-up time measured from age 16 forward; the age-16 share of the exposure window therefore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0"/>
    <w:bookmarkStart w:id="31"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411 (19.4%)</w:t>
            </w:r>
          </w:p>
        </w:tc>
        <w:tc>
          <w:tcPr/>
          <w:p>
            <w:pPr>
              <w:pStyle w:val="Compact"/>
            </w:pPr>
            <w:r>
              <w:t xml:space="preserve">2.16</w:t>
            </w:r>
          </w:p>
        </w:tc>
        <w:tc>
          <w:tcPr/>
          <w:p>
            <w:pPr>
              <w:pStyle w:val="Compact"/>
            </w:pPr>
            <w:r>
              <w:t xml:space="preserve">[1.92, 2.44]</w:t>
            </w:r>
          </w:p>
        </w:tc>
        <w:tc>
          <w:tcPr/>
          <w:p>
            <w:pPr>
              <w:pStyle w:val="Compact"/>
            </w:pPr>
            <w:r>
              <w:t xml:space="preserve">0.727</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(16.4%)</w:t>
            </w:r>
          </w:p>
        </w:tc>
        <w:tc>
          <w:tcPr/>
          <w:p>
            <w:pPr>
              <w:pStyle w:val="Compact"/>
            </w:pPr>
            <w:r>
              <w:t xml:space="preserve">2.25</w:t>
            </w:r>
          </w:p>
        </w:tc>
        <w:tc>
          <w:tcPr/>
          <w:p>
            <w:pPr>
              <w:pStyle w:val="Compact"/>
            </w:pPr>
            <w:r>
              <w:t xml:space="preserve">[1.99, 2.55]</w:t>
            </w:r>
          </w:p>
        </w:tc>
        <w:tc>
          <w:tcPr/>
          <w:p>
            <w:pPr>
              <w:pStyle w:val="Compact"/>
            </w:pPr>
            <w:r>
              <w:t xml:space="preserve">0.747</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254 (12.0%)</w:t>
            </w:r>
          </w:p>
        </w:tc>
        <w:tc>
          <w:tcPr/>
          <w:p>
            <w:pPr>
              <w:pStyle w:val="Compact"/>
            </w:pPr>
            <w:r>
              <w:t xml:space="preserve">2.08</w:t>
            </w:r>
          </w:p>
        </w:tc>
        <w:tc>
          <w:tcPr/>
          <w:p>
            <w:pPr>
              <w:pStyle w:val="Compact"/>
            </w:pPr>
            <w:r>
              <w:t xml:space="preserve">[1.82, 2.37]</w:t>
            </w:r>
          </w:p>
        </w:tc>
        <w:tc>
          <w:tcPr/>
          <w:p>
            <w:pPr>
              <w:pStyle w:val="Compact"/>
            </w:pPr>
            <w:r>
              <w:t xml:space="preserve">0.740</w:t>
            </w:r>
          </w:p>
        </w:tc>
      </w:tr>
    </w:tbl>
    <w:p>
      <w:pPr>
        <w:pStyle w:val="BodyText"/>
      </w:pPr>
      <w:r>
        <w:rPr>
          <w:i/>
          <w:iCs/>
        </w:rPr>
        <w:t xml:space="preserve">Note.</w:t>
      </w:r>
      <w:r>
        <w:t xml:space="preserve"> </w:t>
      </w:r>
      <w:r>
        <w:t xml:space="preserve">All three rows re-estimate the primary L4 model (sex, Tyrving, HHI, pre-milestone volume; n = 2,095) with the alternative outcome definitions. The volume effect is stable across definitions.</w:t>
      </w:r>
    </w:p>
    <w:p>
      <w:r>
        <w:pict>
          <v:rect style="width:0;height:1.5pt" o:hralign="center" o:hrstd="t" o:hr="t"/>
        </w:pict>
      </w:r>
    </w:p>
    <w:bookmarkEnd w:id="31"/>
    <w:bookmarkStart w:id="32"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[1.05, 1.26]</w:t>
            </w:r>
          </w:p>
        </w:tc>
        <w:tc>
          <w:tcPr/>
          <w:p>
            <w:pPr>
              <w:pStyle w:val="Compact"/>
            </w:pPr>
            <w:r>
              <w:t xml:space="preserve">.002</w:t>
            </w:r>
          </w:p>
        </w:tc>
      </w:tr>
      <w:tr>
        <w:tc>
          <w:tcPr/>
          <w:p>
            <w:pPr>
              <w:pStyle w:val="Compact"/>
            </w:pPr>
            <w:r>
              <w:t xml:space="preserve">Tyrving (z)</w:t>
            </w:r>
          </w:p>
        </w:tc>
        <w:tc>
          <w:tcPr/>
          <w:p>
            <w:pPr>
              <w:pStyle w:val="Compact"/>
            </w:pPr>
            <w:r>
              <w:t xml:space="preserve">0.97</w:t>
            </w:r>
          </w:p>
        </w:tc>
        <w:tc>
          <w:tcPr/>
          <w:p>
            <w:pPr>
              <w:pStyle w:val="Compact"/>
            </w:pPr>
            <w:r>
              <w:t xml:space="preserve">[0.93, 1.01]</w:t>
            </w:r>
          </w:p>
        </w:tc>
        <w:tc>
          <w:tcPr/>
          <w:p>
            <w:pPr>
              <w:pStyle w:val="Compact"/>
            </w:pPr>
            <w:r>
              <w:t xml:space="preserve">.165</w:t>
            </w:r>
          </w:p>
        </w:tc>
      </w:tr>
      <w:tr>
        <w:tc>
          <w:tcPr/>
          <w:p>
            <w:pPr>
              <w:pStyle w:val="Compact"/>
            </w:pPr>
            <w:r>
              <w:t xml:space="preserve">HHI, ages 13–14 (z)</w:t>
            </w:r>
          </w:p>
        </w:tc>
        <w:tc>
          <w:tcPr/>
          <w:p>
            <w:pPr>
              <w:pStyle w:val="Compact"/>
            </w:pPr>
            <w:r>
              <w:t xml:space="preserve">0.89</w:t>
            </w:r>
          </w:p>
        </w:tc>
        <w:tc>
          <w:tcPr/>
          <w:p>
            <w:pPr>
              <w:pStyle w:val="Compact"/>
            </w:pPr>
            <w:r>
              <w:t xml:space="preserve">[0.85, 0.94]</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0.54</w:t>
            </w:r>
          </w:p>
        </w:tc>
        <w:tc>
          <w:tcPr/>
          <w:p>
            <w:pPr>
              <w:pStyle w:val="Compact"/>
            </w:pPr>
            <w:r>
              <w:t xml:space="preserve">[0.51, 0.57]</w:t>
            </w:r>
          </w:p>
        </w:tc>
        <w:tc>
          <w:tcPr/>
          <w:p>
            <w:pPr>
              <w:pStyle w:val="Compact"/>
            </w:pPr>
            <w:r>
              <w:t xml:space="preserve">&lt; .001</w:t>
            </w:r>
          </w:p>
        </w:tc>
      </w:tr>
    </w:tbl>
    <w:p>
      <w:pPr>
        <w:pStyle w:val="BodyText"/>
      </w:pPr>
      <w:r>
        <w:rPr>
          <w:i/>
          <w:iCs/>
        </w:rPr>
        <w:t xml:space="preserve">Note.</w:t>
      </w:r>
      <w:r>
        <w:t xml:space="preserve"> </w:t>
      </w:r>
      <w:r>
        <w:t xml:space="preserve">n = 2,095; C-index = 0.743.</w:t>
      </w:r>
    </w:p>
    <w:p>
      <w:r>
        <w:pict>
          <v:rect style="width:0;height:1.5pt" o:hralign="center" o:hrstd="t" o:hr="t"/>
        </w:pict>
      </w:r>
    </w:p>
    <w:bookmarkEnd w:id="32"/>
    <w:bookmarkStart w:id="33"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1.20</w:t>
            </w:r>
          </w:p>
        </w:tc>
        <w:tc>
          <w:tcPr/>
          <w:p>
            <w:pPr>
              <w:pStyle w:val="Compact"/>
            </w:pPr>
            <w:r>
              <w:t xml:space="preserve">[1.08, 1.34]</w:t>
            </w:r>
          </w:p>
        </w:tc>
        <w:tc>
          <w:tcPr/>
          <w:p>
            <w:pPr>
              <w:pStyle w:val="Compact"/>
            </w:pPr>
            <w:r>
              <w:t xml:space="preserve">&lt; .001</w:t>
            </w:r>
          </w:p>
        </w:tc>
      </w:tr>
      <w:tr>
        <w:tc>
          <w:tcPr/>
          <w:p>
            <w:pPr>
              <w:pStyle w:val="Compact"/>
            </w:pPr>
            <w:r>
              <w:t xml:space="preserve">Tyrving (z)</w:t>
            </w:r>
          </w:p>
        </w:tc>
        <w:tc>
          <w:tcPr/>
          <w:p>
            <w:pPr>
              <w:pStyle w:val="Compact"/>
            </w:pPr>
            <w:r>
              <w:t xml:space="preserve">0.99</w:t>
            </w:r>
          </w:p>
        </w:tc>
        <w:tc>
          <w:tcPr/>
          <w:p>
            <w:pPr>
              <w:pStyle w:val="Compact"/>
            </w:pPr>
            <w:r>
              <w:t xml:space="preserve">[0.94, 1.05]</w:t>
            </w:r>
          </w:p>
        </w:tc>
        <w:tc>
          <w:tcPr/>
          <w:p>
            <w:pPr>
              <w:pStyle w:val="Compact"/>
            </w:pPr>
            <w:r>
              <w:t xml:space="preserve">.782</w:t>
            </w:r>
          </w:p>
        </w:tc>
      </w:tr>
      <w:tr>
        <w:tc>
          <w:tcPr/>
          <w:p>
            <w:pPr>
              <w:pStyle w:val="Compact"/>
            </w:pPr>
            <w:r>
              <w:t xml:space="preserve">HHI, ages 13–14 (z)</w:t>
            </w:r>
          </w:p>
        </w:tc>
        <w:tc>
          <w:tcPr/>
          <w:p>
            <w:pPr>
              <w:pStyle w:val="Compact"/>
            </w:pPr>
            <w:r>
              <w:t xml:space="preserve">0.95</w:t>
            </w:r>
          </w:p>
        </w:tc>
        <w:tc>
          <w:tcPr/>
          <w:p>
            <w:pPr>
              <w:pStyle w:val="Compact"/>
            </w:pPr>
            <w:r>
              <w:t xml:space="preserve">[0.90, 1.01]</w:t>
            </w:r>
          </w:p>
        </w:tc>
        <w:tc>
          <w:tcPr/>
          <w:p>
            <w:pPr>
              <w:pStyle w:val="Compact"/>
            </w:pPr>
            <w:r>
              <w:t xml:space="preserve">.097</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[0.47, 0.56]</w:t>
            </w:r>
          </w:p>
        </w:tc>
        <w:tc>
          <w:tcPr/>
          <w:p>
            <w:pPr>
              <w:pStyle w:val="Compact"/>
            </w:pPr>
            <w:r>
              <w:t xml:space="preserve">&lt; .001</w:t>
            </w:r>
          </w:p>
        </w:tc>
      </w:tr>
      <w:tr>
        <w:tc>
          <w:tcPr/>
          <w:p>
            <w:pPr>
              <w:pStyle w:val="Compact"/>
            </w:pPr>
            <w:r>
              <w:t xml:space="preserve">Championship types</w:t>
            </w:r>
          </w:p>
        </w:tc>
        <w:tc>
          <w:tcPr/>
          <w:p>
            <w:pPr>
              <w:pStyle w:val="Compact"/>
            </w:pPr>
            <w:r>
              <w:t xml:space="preserve">0.79</w:t>
            </w:r>
          </w:p>
        </w:tc>
        <w:tc>
          <w:tcPr/>
          <w:p>
            <w:pPr>
              <w:pStyle w:val="Compact"/>
            </w:pPr>
            <w:r>
              <w:t xml:space="preserve">[0.73, 0.85]</w:t>
            </w:r>
          </w:p>
        </w:tc>
        <w:tc>
          <w:tcPr/>
          <w:p>
            <w:pPr>
              <w:pStyle w:val="Compact"/>
            </w:pPr>
            <w:r>
              <w:t xml:space="preserve">&lt; .001</w:t>
            </w:r>
          </w:p>
        </w:tc>
      </w:tr>
    </w:tbl>
    <w:p>
      <w:pPr>
        <w:pStyle w:val="BodyText"/>
      </w:pPr>
      <w:r>
        <w:rPr>
          <w:i/>
          <w:iCs/>
        </w:rPr>
        <w:t xml:space="preserve">Note.</w:t>
      </w:r>
      <w:r>
        <w:t xml:space="preserve"> </w:t>
      </w:r>
      <w:r>
        <w:t xml:space="preserve">Excludes 581 athletes with vol_milestone = 0; remaining n = 1,514; C-index = 0.789.</w:t>
      </w:r>
    </w:p>
    <w:p>
      <w:r>
        <w:pict>
          <v:rect style="width:0;height:1.5pt" o:hralign="center" o:hrstd="t" o:hr="t"/>
        </w:pict>
      </w:r>
    </w:p>
    <w:bookmarkEnd w:id="33"/>
    <w:bookmarkStart w:id="34"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2,123</w:t>
            </w:r>
          </w:p>
        </w:tc>
        <w:tc>
          <w:tcPr/>
          <w:p>
            <w:pPr>
              <w:pStyle w:val="Compact"/>
            </w:pPr>
            <w:r>
              <w:t xml:space="preserve">All included athletes</w:t>
            </w:r>
          </w:p>
        </w:tc>
      </w:tr>
      <w:tr>
        <w:tc>
          <w:tcPr/>
          <w:p>
            <w:pPr>
              <w:pStyle w:val="Compact"/>
            </w:pPr>
            <w:r>
              <w:t xml:space="preserve">Sex known</w:t>
            </w:r>
          </w:p>
        </w:tc>
        <w:tc>
          <w:tcPr/>
          <w:p>
            <w:pPr>
              <w:pStyle w:val="Compact"/>
            </w:pPr>
            <w:r>
              <w:t xml:space="preserve">2,099</w:t>
            </w:r>
          </w:p>
        </w:tc>
        <w:tc>
          <w:tcPr/>
          <w:p>
            <w:pPr>
              <w:pStyle w:val="Compact"/>
            </w:pPr>
            <w:r>
              <w:t xml:space="preserve">Gender M/F registered (24 unknown; excluded from regression models, included in cohort totals and unstratified KM curves)</w:t>
            </w:r>
          </w:p>
        </w:tc>
      </w:tr>
      <w:tr>
        <w:tc>
          <w:tcPr/>
          <w:p>
            <w:pPr>
              <w:pStyle w:val="Compact"/>
            </w:pPr>
            <w:r>
              <w:t xml:space="preserve">Primary logistic L1–L4</w:t>
            </w:r>
          </w:p>
        </w:tc>
        <w:tc>
          <w:tcPr/>
          <w:p>
            <w:pPr>
              <w:pStyle w:val="Compact"/>
            </w:pPr>
            <w:r>
              <w:t xml:space="preserve">2,095</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1,888</w:t>
            </w:r>
          </w:p>
        </w:tc>
        <w:tc>
          <w:tcPr/>
          <w:p>
            <w:pPr>
              <w:pStyle w:val="Compact"/>
            </w:pPr>
            <w:r>
              <w:t xml:space="preserve">Of 1,914 athletes with ≥1 result at age 14; complete case on sex and Tyrving</w:t>
            </w:r>
          </w:p>
        </w:tc>
      </w:tr>
      <w:tr>
        <w:tc>
          <w:tcPr/>
          <w:p>
            <w:pPr>
              <w:pStyle w:val="Compact"/>
            </w:pPr>
            <w:r>
              <w:t xml:space="preserve">Contamination-free change model</w:t>
            </w:r>
          </w:p>
        </w:tc>
        <w:tc>
          <w:tcPr/>
          <w:p>
            <w:pPr>
              <w:pStyle w:val="Compact"/>
            </w:pPr>
            <w:r>
              <w:t xml:space="preserve">1,075</w:t>
            </w:r>
          </w:p>
        </w:tc>
        <w:tc>
          <w:tcPr/>
          <w:p>
            <w:pPr>
              <w:pStyle w:val="Compact"/>
            </w:pPr>
            <w:r>
              <w:t xml:space="preserve">Of 1,085 athletes with ≥2 results at age 16; complete case on sex</w:t>
            </w:r>
          </w:p>
        </w:tc>
      </w:tr>
      <w:tr>
        <w:tc>
          <w:tcPr/>
          <w:p>
            <w:pPr>
              <w:pStyle w:val="Compact"/>
            </w:pPr>
            <w:r>
              <w:t xml:space="preserve">Landmark Cox at age 16</w:t>
            </w:r>
          </w:p>
        </w:tc>
        <w:tc>
          <w:tcPr/>
          <w:p>
            <w:pPr>
              <w:pStyle w:val="Compact"/>
            </w:pPr>
            <w:r>
              <w:t xml:space="preserve">1,153</w:t>
            </w:r>
          </w:p>
        </w:tc>
        <w:tc>
          <w:tcPr/>
          <w:p>
            <w:pPr>
              <w:pStyle w:val="Compact"/>
            </w:pPr>
            <w:r>
              <w:t xml:space="preserve">Of 1,167 athletes with ≥1 result at age 16; complete case on model covariates</w:t>
            </w:r>
          </w:p>
        </w:tc>
      </w:tr>
      <w:tr>
        <w:tc>
          <w:tcPr/>
          <w:p>
            <w:pPr>
              <w:pStyle w:val="Compact"/>
            </w:pPr>
            <w:r>
              <w:t xml:space="preserve">Performance-trajectory comparison (Table S15)</w:t>
            </w:r>
          </w:p>
        </w:tc>
        <w:tc>
          <w:tcPr/>
          <w:p>
            <w:pPr>
              <w:pStyle w:val="Compact"/>
            </w:pPr>
            <w:r>
              <w:t xml:space="preserve">1,692</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1,473</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2,099</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1,897</w:t>
            </w:r>
          </w:p>
        </w:tc>
        <w:tc>
          <w:tcPr/>
          <w:p>
            <w:pPr>
              <w:pStyle w:val="Compact"/>
            </w:pPr>
            <w:r>
              <w:t xml:space="preserve">Athletes with ≥2 athlete-seasons at ages 13–19 up to and including the final active season (8,447 athlete-seasons)</w:t>
            </w:r>
          </w:p>
        </w:tc>
      </w:tr>
      <w:tr>
        <w:tc>
          <w:tcPr/>
          <w:p>
            <w:pPr>
              <w:pStyle w:val="Compact"/>
            </w:pPr>
            <w:r>
              <w:t xml:space="preserve">Specialization confound models (S18 B/C)</w:t>
            </w:r>
          </w:p>
        </w:tc>
        <w:tc>
          <w:tcPr/>
          <w:p>
            <w:pPr>
              <w:pStyle w:val="Compact"/>
            </w:pPr>
            <w:r>
              <w:t xml:space="preserve">2,094 / 2,097</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4"/>
    <w:bookmarkStart w:id="35"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0.60</w:t>
            </w:r>
          </w:p>
        </w:tc>
        <w:tc>
          <w:tcPr/>
          <w:p>
            <w:pPr>
              <w:pStyle w:val="Compact"/>
            </w:pPr>
            <w:r>
              <w:t xml:space="preserve">[0.46, 0.77]</w:t>
            </w:r>
          </w:p>
        </w:tc>
        <w:tc>
          <w:tcPr/>
          <w:p>
            <w:pPr>
              <w:pStyle w:val="Compact"/>
            </w:pPr>
            <w:r>
              <w:t xml:space="preserve">&lt; .001</w:t>
            </w:r>
          </w:p>
        </w:tc>
      </w:tr>
      <w:tr>
        <w:tc>
          <w:tcPr/>
          <w:p>
            <w:pPr>
              <w:pStyle w:val="Compact"/>
            </w:pPr>
            <w:r>
              <w:t xml:space="preserve">Tyrving (z)</w:t>
            </w:r>
          </w:p>
        </w:tc>
        <w:tc>
          <w:tcPr/>
          <w:p>
            <w:pPr>
              <w:pStyle w:val="Compact"/>
            </w:pPr>
            <w:r>
              <w:t xml:space="preserve">1.24</w:t>
            </w:r>
          </w:p>
        </w:tc>
        <w:tc>
          <w:tcPr/>
          <w:p>
            <w:pPr>
              <w:pStyle w:val="Compact"/>
            </w:pPr>
            <w:r>
              <w:t xml:space="preserve">[1.07, 1.44]</w:t>
            </w:r>
          </w:p>
        </w:tc>
        <w:tc>
          <w:tcPr/>
          <w:p>
            <w:pPr>
              <w:pStyle w:val="Compact"/>
            </w:pPr>
            <w:r>
              <w:t xml:space="preserve">.004</w:t>
            </w:r>
          </w:p>
        </w:tc>
      </w:tr>
      <w:tr>
        <w:tc>
          <w:tcPr/>
          <w:p>
            <w:pPr>
              <w:pStyle w:val="Compact"/>
            </w:pPr>
            <w:r>
              <w:t xml:space="preserve">HHI, ages 13–14 (z)</w:t>
            </w:r>
          </w:p>
        </w:tc>
        <w:tc>
          <w:tcPr/>
          <w:p>
            <w:pPr>
              <w:pStyle w:val="Compact"/>
            </w:pPr>
            <w:r>
              <w:t xml:space="preserve">1.27</w:t>
            </w:r>
          </w:p>
        </w:tc>
        <w:tc>
          <w:tcPr/>
          <w:p>
            <w:pPr>
              <w:pStyle w:val="Compact"/>
            </w:pPr>
            <w:r>
              <w:t xml:space="preserve">[1.12, 1.44]</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2.26</w:t>
            </w:r>
          </w:p>
        </w:tc>
        <w:tc>
          <w:tcPr/>
          <w:p>
            <w:pPr>
              <w:pStyle w:val="Compact"/>
            </w:pPr>
            <w:r>
              <w:t xml:space="preserve">[1.99, 2.57]</w:t>
            </w:r>
          </w:p>
        </w:tc>
        <w:tc>
          <w:tcPr/>
          <w:p>
            <w:pPr>
              <w:pStyle w:val="Compact"/>
            </w:pPr>
            <w:r>
              <w:t xml:space="preserve">&lt; .001</w:t>
            </w:r>
          </w:p>
        </w:tc>
      </w:tr>
      <w:tr>
        <w:tc>
          <w:tcPr/>
          <w:p>
            <w:pPr>
              <w:pStyle w:val="Compact"/>
            </w:pPr>
            <w:r>
              <w:t xml:space="preserve">Q1 born</w:t>
            </w:r>
          </w:p>
        </w:tc>
        <w:tc>
          <w:tcPr/>
          <w:p>
            <w:pPr>
              <w:pStyle w:val="Compact"/>
            </w:pPr>
            <w:r>
              <w:t xml:space="preserve">0.82</w:t>
            </w:r>
          </w:p>
        </w:tc>
        <w:tc>
          <w:tcPr/>
          <w:p>
            <w:pPr>
              <w:pStyle w:val="Compact"/>
            </w:pPr>
            <w:r>
              <w:t xml:space="preserve">[0.62, 1.09]</w:t>
            </w:r>
          </w:p>
        </w:tc>
        <w:tc>
          <w:tcPr/>
          <w:p>
            <w:pPr>
              <w:pStyle w:val="Compact"/>
            </w:pPr>
            <w:r>
              <w:t xml:space="preserve">.178</w:t>
            </w:r>
          </w:p>
        </w:tc>
      </w:tr>
      <w:tr>
        <w:tc>
          <w:tcPr/>
          <w:p>
            <w:pPr>
              <w:pStyle w:val="Compact"/>
            </w:pPr>
            <w:r>
              <w:t xml:space="preserve">Q4 born</w:t>
            </w:r>
          </w:p>
        </w:tc>
        <w:tc>
          <w:tcPr/>
          <w:p>
            <w:pPr>
              <w:pStyle w:val="Compact"/>
            </w:pPr>
            <w:r>
              <w:t xml:space="preserve">1.10</w:t>
            </w:r>
          </w:p>
        </w:tc>
        <w:tc>
          <w:tcPr/>
          <w:p>
            <w:pPr>
              <w:pStyle w:val="Compact"/>
            </w:pPr>
            <w:r>
              <w:t xml:space="preserve">[0.77, 1.57]</w:t>
            </w:r>
          </w:p>
        </w:tc>
        <w:tc>
          <w:tcPr/>
          <w:p>
            <w:pPr>
              <w:pStyle w:val="Compact"/>
            </w:pPr>
            <w:r>
              <w:t xml:space="preserve">.601</w:t>
            </w:r>
          </w:p>
        </w:tc>
      </w:tr>
      <w:tr>
        <w:tc>
          <w:tcPr/>
          <w:p>
            <w:pPr>
              <w:pStyle w:val="Compact"/>
            </w:pPr>
            <w:r>
              <w:t xml:space="preserve">Region: Østlandet</w:t>
            </w:r>
          </w:p>
        </w:tc>
        <w:tc>
          <w:tcPr/>
          <w:p>
            <w:pPr>
              <w:pStyle w:val="Compact"/>
            </w:pPr>
            <w:r>
              <w:t xml:space="preserve">1.17</w:t>
            </w:r>
          </w:p>
        </w:tc>
        <w:tc>
          <w:tcPr/>
          <w:p>
            <w:pPr>
              <w:pStyle w:val="Compact"/>
            </w:pPr>
            <w:r>
              <w:t xml:space="preserve">[0.87, 1.58]</w:t>
            </w:r>
          </w:p>
        </w:tc>
        <w:tc>
          <w:tcPr/>
          <w:p>
            <w:pPr>
              <w:pStyle w:val="Compact"/>
            </w:pPr>
            <w:r>
              <w:t xml:space="preserve">.292</w:t>
            </w:r>
          </w:p>
        </w:tc>
      </w:tr>
      <w:tr>
        <w:tc>
          <w:tcPr/>
          <w:p>
            <w:pPr>
              <w:pStyle w:val="Compact"/>
            </w:pPr>
            <w:r>
              <w:t xml:space="preserve">Region: Midt-Norge</w:t>
            </w:r>
          </w:p>
        </w:tc>
        <w:tc>
          <w:tcPr/>
          <w:p>
            <w:pPr>
              <w:pStyle w:val="Compact"/>
            </w:pPr>
            <w:r>
              <w:t xml:space="preserve">1.08</w:t>
            </w:r>
          </w:p>
        </w:tc>
        <w:tc>
          <w:tcPr/>
          <w:p>
            <w:pPr>
              <w:pStyle w:val="Compact"/>
            </w:pPr>
            <w:r>
              <w:t xml:space="preserve">[0.76, 1.54]</w:t>
            </w:r>
          </w:p>
        </w:tc>
        <w:tc>
          <w:tcPr/>
          <w:p>
            <w:pPr>
              <w:pStyle w:val="Compact"/>
            </w:pPr>
            <w:r>
              <w:t xml:space="preserve">.663</w:t>
            </w:r>
          </w:p>
        </w:tc>
      </w:tr>
      <w:tr>
        <w:tc>
          <w:tcPr/>
          <w:p>
            <w:pPr>
              <w:pStyle w:val="Compact"/>
            </w:pPr>
            <w:r>
              <w:t xml:space="preserve">Club size (z)</w:t>
            </w:r>
          </w:p>
        </w:tc>
        <w:tc>
          <w:tcPr/>
          <w:p>
            <w:pPr>
              <w:pStyle w:val="Compact"/>
            </w:pPr>
            <w:r>
              <w:t xml:space="preserve">1.02</w:t>
            </w:r>
          </w:p>
        </w:tc>
        <w:tc>
          <w:tcPr/>
          <w:p>
            <w:pPr>
              <w:pStyle w:val="Compact"/>
            </w:pPr>
            <w:r>
              <w:t xml:space="preserve">[0.90, 1.16]</w:t>
            </w:r>
          </w:p>
        </w:tc>
        <w:tc>
          <w:tcPr/>
          <w:p>
            <w:pPr>
              <w:pStyle w:val="Compact"/>
            </w:pPr>
            <w:r>
              <w:t xml:space="preserve">.717</w:t>
            </w:r>
          </w:p>
        </w:tc>
      </w:tr>
    </w:tbl>
    <w:p>
      <w:pPr>
        <w:pStyle w:val="BodyText"/>
      </w:pPr>
      <w:r>
        <w:rPr>
          <w:i/>
          <w:iCs/>
        </w:rPr>
        <w:t xml:space="preserve">Note.</w:t>
      </w:r>
      <w:r>
        <w:t xml:space="preserve"> </w:t>
      </w:r>
      <w:r>
        <w:t xml:space="preserve">n = 2,095. Panel A (as submitted): Q1 and Q4 indicators against Q2–Q3, the relative-age extremes; the 84 athletes registered with birth year but no birth date (none of whom retained) fall in the reference group. Pre-milestone volume effect unchanged: OR 2.26 with controls vs. 2.25 without. All structural controls non-significant.</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0.82</w:t>
            </w:r>
          </w:p>
        </w:tc>
        <w:tc>
          <w:tcPr/>
          <w:p>
            <w:pPr>
              <w:pStyle w:val="Compact"/>
            </w:pPr>
            <w:r>
              <w:t xml:space="preserve">[0.62, 1.09]</w:t>
            </w:r>
          </w:p>
        </w:tc>
        <w:tc>
          <w:tcPr/>
          <w:p>
            <w:pPr>
              <w:pStyle w:val="Compact"/>
            </w:pPr>
            <w:r>
              <w:t xml:space="preserve">.178</w:t>
            </w:r>
          </w:p>
        </w:tc>
        <w:tc>
          <w:tcPr/>
          <w:p>
            <w:pPr>
              <w:pStyle w:val="Compact"/>
            </w:pPr>
            <w:r>
              <w:t xml:space="preserve">χ²(2) = 2.71, p = 0.26</w:t>
            </w:r>
          </w:p>
        </w:tc>
        <w:tc>
          <w:tcPr/>
          <w:p>
            <w:pPr>
              <w:pStyle w:val="Compact"/>
            </w:pPr>
            <w:r>
              <w:t xml:space="preserve">2,095</w:t>
            </w:r>
          </w:p>
        </w:tc>
      </w:tr>
      <w:tr>
        <w:tc>
          <w:tcPr/>
          <w:p>
            <w:pPr>
              <w:pStyle w:val="Compact"/>
            </w:pPr>
          </w:p>
        </w:tc>
        <w:tc>
          <w:tcPr/>
          <w:p>
            <w:pPr>
              <w:pStyle w:val="Compact"/>
            </w:pPr>
            <w:r>
              <w:t xml:space="preserve">Q4 (Oct–Dec)</w:t>
            </w:r>
          </w:p>
        </w:tc>
        <w:tc>
          <w:tcPr/>
          <w:p>
            <w:pPr>
              <w:pStyle w:val="Compact"/>
            </w:pPr>
            <w:r>
              <w:t xml:space="preserve">1.10</w:t>
            </w:r>
          </w:p>
        </w:tc>
        <w:tc>
          <w:tcPr/>
          <w:p>
            <w:pPr>
              <w:pStyle w:val="Compact"/>
            </w:pPr>
            <w:r>
              <w:t xml:space="preserve">[0.77, 1.57]</w:t>
            </w:r>
          </w:p>
        </w:tc>
        <w:tc>
          <w:tcPr/>
          <w:p>
            <w:pPr>
              <w:pStyle w:val="Compact"/>
            </w:pPr>
            <w:r>
              <w:t xml:space="preserve">.601</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2.26</w:t>
            </w:r>
          </w:p>
        </w:tc>
        <w:tc>
          <w:tcPr/>
          <w:p>
            <w:pPr>
              <w:pStyle w:val="Compact"/>
            </w:pPr>
            <w:r>
              <w:t xml:space="preserve">[1.99, 2.57]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0.79</w:t>
            </w:r>
          </w:p>
        </w:tc>
        <w:tc>
          <w:tcPr/>
          <w:p>
            <w:pPr>
              <w:pStyle w:val="Compact"/>
            </w:pPr>
            <w:r>
              <w:t xml:space="preserve">[0.59, 1.05]</w:t>
            </w:r>
          </w:p>
        </w:tc>
        <w:tc>
          <w:tcPr/>
          <w:p>
            <w:pPr>
              <w:pStyle w:val="Compact"/>
            </w:pPr>
            <w:r>
              <w:t xml:space="preserve">.104</w:t>
            </w:r>
          </w:p>
        </w:tc>
        <w:tc>
          <w:tcPr/>
          <w:p>
            <w:pPr>
              <w:pStyle w:val="Compact"/>
            </w:pPr>
            <w:r>
              <w:t xml:space="preserve">χ²(2) = 3.23, p = 0.20</w:t>
            </w:r>
          </w:p>
        </w:tc>
        <w:tc>
          <w:tcPr/>
          <w:p>
            <w:pPr>
              <w:pStyle w:val="Compact"/>
            </w:pPr>
            <w:r>
              <w:t xml:space="preserve">2,011</w:t>
            </w:r>
          </w:p>
        </w:tc>
      </w:tr>
      <w:tr>
        <w:tc>
          <w:tcPr/>
          <w:p>
            <w:pPr>
              <w:pStyle w:val="Compact"/>
            </w:pPr>
          </w:p>
        </w:tc>
        <w:tc>
          <w:tcPr/>
          <w:p>
            <w:pPr>
              <w:pStyle w:val="Compact"/>
            </w:pPr>
            <w:r>
              <w:t xml:space="preserve">Q4 (Oct–Dec)</w:t>
            </w:r>
          </w:p>
        </w:tc>
        <w:tc>
          <w:tcPr/>
          <w:p>
            <w:pPr>
              <w:pStyle w:val="Compact"/>
            </w:pPr>
            <w:r>
              <w:t xml:space="preserve">1.05</w:t>
            </w:r>
          </w:p>
        </w:tc>
        <w:tc>
          <w:tcPr/>
          <w:p>
            <w:pPr>
              <w:pStyle w:val="Compact"/>
            </w:pPr>
            <w:r>
              <w:t xml:space="preserve">[0.73, 1.49]</w:t>
            </w:r>
          </w:p>
        </w:tc>
        <w:tc>
          <w:tcPr/>
          <w:p>
            <w:pPr>
              <w:pStyle w:val="Compact"/>
            </w:pPr>
            <w:r>
              <w:t xml:space="preserve">.806</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2.21</w:t>
            </w:r>
          </w:p>
        </w:tc>
        <w:tc>
          <w:tcPr/>
          <w:p>
            <w:pPr>
              <w:pStyle w:val="Compact"/>
            </w:pPr>
            <w:r>
              <w:t xml:space="preserve">[1.94, 2.51]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1.28</w:t>
            </w:r>
          </w:p>
        </w:tc>
        <w:tc>
          <w:tcPr/>
          <w:p>
            <w:pPr>
              <w:pStyle w:val="Compact"/>
            </w:pPr>
            <w:r>
              <w:t xml:space="preserve">[0.92, 1.77]</w:t>
            </w:r>
          </w:p>
        </w:tc>
        <w:tc>
          <w:tcPr/>
          <w:p>
            <w:pPr>
              <w:pStyle w:val="Compact"/>
            </w:pPr>
            <w:r>
              <w:t xml:space="preserve">.141</w:t>
            </w:r>
          </w:p>
        </w:tc>
        <w:tc>
          <w:tcPr/>
          <w:p>
            <w:pPr>
              <w:pStyle w:val="Compact"/>
            </w:pPr>
            <w:r>
              <w:t xml:space="preserve">χ²(3) = 3.24, p = 0.36</w:t>
            </w:r>
          </w:p>
        </w:tc>
        <w:tc>
          <w:tcPr/>
          <w:p>
            <w:pPr>
              <w:pStyle w:val="Compact"/>
            </w:pPr>
            <w:r>
              <w:t xml:space="preserve">2,011</w:t>
            </w:r>
          </w:p>
        </w:tc>
      </w:tr>
      <w:tr>
        <w:tc>
          <w:tcPr/>
          <w:p>
            <w:pPr>
              <w:pStyle w:val="Compact"/>
            </w:pPr>
          </w:p>
        </w:tc>
        <w:tc>
          <w:tcPr/>
          <w:p>
            <w:pPr>
              <w:pStyle w:val="Compact"/>
            </w:pPr>
            <w:r>
              <w:t xml:space="preserve">Q3 (Jul–Sep)</w:t>
            </w:r>
          </w:p>
        </w:tc>
        <w:tc>
          <w:tcPr/>
          <w:p>
            <w:pPr>
              <w:pStyle w:val="Compact"/>
            </w:pPr>
            <w:r>
              <w:t xml:space="preserve">1.26</w:t>
            </w:r>
          </w:p>
        </w:tc>
        <w:tc>
          <w:tcPr/>
          <w:p>
            <w:pPr>
              <w:pStyle w:val="Compact"/>
            </w:pPr>
            <w:r>
              <w:t xml:space="preserve">[0.89, 1.77]</w:t>
            </w:r>
          </w:p>
        </w:tc>
        <w:tc>
          <w:tcPr/>
          <w:p>
            <w:pPr>
              <w:pStyle w:val="Compact"/>
            </w:pPr>
            <w:r>
              <w:t xml:space="preserve">.191</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1.33</w:t>
            </w:r>
          </w:p>
        </w:tc>
        <w:tc>
          <w:tcPr/>
          <w:p>
            <w:pPr>
              <w:pStyle w:val="Compact"/>
            </w:pPr>
            <w:r>
              <w:t xml:space="preserve">[0.90, 1.96]</w:t>
            </w:r>
          </w:p>
        </w:tc>
        <w:tc>
          <w:tcPr/>
          <w:p>
            <w:pPr>
              <w:pStyle w:val="Compact"/>
            </w:pPr>
            <w:r>
              <w:t xml:space="preserve">.156</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2.21</w:t>
            </w:r>
          </w:p>
        </w:tc>
        <w:tc>
          <w:tcPr/>
          <w:p>
            <w:pPr>
              <w:pStyle w:val="Compact"/>
            </w:pPr>
            <w:r>
              <w:t xml:space="preserve">[1.94, 2.51]</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1.09</w:t>
            </w:r>
          </w:p>
        </w:tc>
        <w:tc>
          <w:tcPr/>
          <w:p>
            <w:pPr>
              <w:pStyle w:val="Compact"/>
            </w:pPr>
            <w:r>
              <w:t xml:space="preserve">[0.97, 1.23]</w:t>
            </w:r>
          </w:p>
        </w:tc>
        <w:tc>
          <w:tcPr/>
          <w:p>
            <w:pPr>
              <w:pStyle w:val="Compact"/>
            </w:pPr>
            <w:r>
              <w:t xml:space="preserve">.134</w:t>
            </w:r>
          </w:p>
        </w:tc>
        <w:tc>
          <w:tcPr/>
          <w:p>
            <w:pPr>
              <w:pStyle w:val="Compact"/>
            </w:pPr>
            <w:r>
              <w:t xml:space="preserve">χ²(1) = 2.24, p = 0.13</w:t>
            </w:r>
          </w:p>
        </w:tc>
        <w:tc>
          <w:tcPr/>
          <w:p>
            <w:pPr>
              <w:pStyle w:val="Compact"/>
            </w:pPr>
            <w:r>
              <w:t xml:space="preserve">2,011</w:t>
            </w:r>
          </w:p>
        </w:tc>
      </w:tr>
      <w:tr>
        <w:tc>
          <w:tcPr/>
          <w:p>
            <w:pPr>
              <w:pStyle w:val="Compact"/>
            </w:pPr>
          </w:p>
        </w:tc>
        <w:tc>
          <w:tcPr/>
          <w:p>
            <w:pPr>
              <w:pStyle w:val="Compact"/>
            </w:pPr>
            <w:r>
              <w:t xml:space="preserve">Pre-milestone volume (z)</w:t>
            </w:r>
          </w:p>
        </w:tc>
        <w:tc>
          <w:tcPr/>
          <w:p>
            <w:pPr>
              <w:pStyle w:val="Compact"/>
            </w:pPr>
            <w:r>
              <w:t xml:space="preserve">2.20</w:t>
            </w:r>
          </w:p>
        </w:tc>
        <w:tc>
          <w:tcPr/>
          <w:p>
            <w:pPr>
              <w:pStyle w:val="Compact"/>
            </w:pPr>
            <w:r>
              <w:t xml:space="preserve">[1.94, 2.50]</w:t>
            </w:r>
          </w:p>
        </w:tc>
        <w:tc>
          <w:tcPr/>
          <w:p>
            <w:pPr>
              <w:pStyle w:val="Compact"/>
            </w:pPr>
            <w:r>
              <w:t xml:space="preserve">&lt; .001</w:t>
            </w:r>
          </w:p>
        </w:tc>
        <w:tc>
          <w:tcPr/>
          <w:p>
            <w:pPr>
              <w:pStyle w:val="Compact"/>
            </w:pPr>
          </w:p>
        </w:tc>
        <w:tc>
          <w:tcPr/>
          <w:p>
            <w:pPr>
              <w:pStyle w:val="Compact"/>
            </w:pPr>
          </w:p>
        </w:tc>
      </w:tr>
    </w:tbl>
    <w:p>
      <w:pPr>
        <w:pStyle w:val="BodyText"/>
      </w:pPr>
      <w:r>
        <w:t xml:space="preserve">Birth quarter is unrelated to retention under every coding; the volume coefficient is unchanged.</w:t>
      </w:r>
    </w:p>
    <w:p>
      <w:r>
        <w:pict>
          <v:rect style="width:0;height:1.5pt" o:hralign="center" o:hrstd="t" o:hr="t"/>
        </w:pict>
      </w:r>
    </w:p>
    <w:bookmarkEnd w:id="35"/>
    <w:bookmarkStart w:id="36" w:name="X224abbb735860469629c81ef848596ae7a1ac0c"/>
    <w:p>
      <w:pPr>
        <w:pStyle w:val="Heading2"/>
      </w:pPr>
      <w:r>
        <w:t xml:space="preserve">Table S14. Level-versus-change analysis details (athletes with ≥1 result at age 14; complete-case n = 1,888)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0.60</w:t>
            </w:r>
          </w:p>
        </w:tc>
        <w:tc>
          <w:tcPr/>
          <w:p>
            <w:pPr>
              <w:pStyle w:val="Compact"/>
            </w:pPr>
            <w:r>
              <w:t xml:space="preserve">[0.46, 0.77]</w:t>
            </w:r>
          </w:p>
        </w:tc>
        <w:tc>
          <w:tcPr/>
          <w:p>
            <w:pPr>
              <w:pStyle w:val="Compact"/>
            </w:pPr>
            <w:r>
              <w:t xml:space="preserve">&lt; .001</w:t>
            </w:r>
          </w:p>
        </w:tc>
        <w:tc>
          <w:tcPr/>
          <w:p>
            <w:pPr>
              <w:pStyle w:val="Compact"/>
            </w:pPr>
            <w:r>
              <w:t xml:space="preserve">0.122</w:t>
            </w:r>
          </w:p>
        </w:tc>
        <w:tc>
          <w:tcPr/>
          <w:p>
            <w:pPr>
              <w:pStyle w:val="Compact"/>
            </w:pPr>
            <w:r>
              <w:t xml:space="preserve">0.735</w:t>
            </w:r>
          </w:p>
        </w:tc>
      </w:tr>
      <w:tr>
        <w:tc>
          <w:tcPr/>
          <w:p>
            <w:pPr>
              <w:pStyle w:val="Compact"/>
            </w:pPr>
          </w:p>
        </w:tc>
        <w:tc>
          <w:tcPr/>
          <w:p>
            <w:pPr>
              <w:pStyle w:val="Compact"/>
            </w:pPr>
            <w:r>
              <w:t xml:space="preserve">Tyrving (z)</w:t>
            </w:r>
          </w:p>
        </w:tc>
        <w:tc>
          <w:tcPr/>
          <w:p>
            <w:pPr>
              <w:pStyle w:val="Compact"/>
            </w:pPr>
            <w:r>
              <w:t xml:space="preserve">1.21</w:t>
            </w:r>
          </w:p>
        </w:tc>
        <w:tc>
          <w:tcPr/>
          <w:p>
            <w:pPr>
              <w:pStyle w:val="Compact"/>
            </w:pPr>
            <w:r>
              <w:t xml:space="preserve">[1.04, 1.41]</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2.20</w:t>
            </w:r>
          </w:p>
        </w:tc>
        <w:tc>
          <w:tcPr/>
          <w:p>
            <w:pPr>
              <w:pStyle w:val="Compact"/>
            </w:pPr>
            <w:r>
              <w:t xml:space="preserve">[1.94, 2.50]</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[0.45, 0.79]</w:t>
            </w:r>
          </w:p>
        </w:tc>
        <w:tc>
          <w:tcPr/>
          <w:p>
            <w:pPr>
              <w:pStyle w:val="Compact"/>
            </w:pPr>
            <w:r>
              <w:t xml:space="preserve">&lt; .001</w:t>
            </w:r>
          </w:p>
        </w:tc>
        <w:tc>
          <w:tcPr/>
          <w:p>
            <w:pPr>
              <w:pStyle w:val="Compact"/>
            </w:pPr>
            <w:r>
              <w:t xml:space="preserve">0.229</w:t>
            </w:r>
          </w:p>
        </w:tc>
        <w:tc>
          <w:tcPr/>
          <w:p>
            <w:pPr>
              <w:pStyle w:val="Compact"/>
            </w:pPr>
            <w:r>
              <w:t xml:space="preserve">0.823</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.140</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2.70</w:t>
            </w:r>
          </w:p>
        </w:tc>
        <w:tc>
          <w:tcPr/>
          <w:p>
            <w:pPr>
              <w:pStyle w:val="Compact"/>
            </w:pPr>
            <w:r>
              <w:t xml:space="preserve">[2.33, 3.12]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2.38</w:t>
            </w:r>
          </w:p>
        </w:tc>
        <w:tc>
          <w:tcPr/>
          <w:p>
            <w:pPr>
              <w:pStyle w:val="Compact"/>
            </w:pPr>
            <w:r>
              <w:t xml:space="preserve">[2.08, 2.73]</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6"/>
    <w:bookmarkStart w:id="37"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2,095</w:t>
            </w:r>
          </w:p>
        </w:tc>
        <w:tc>
          <w:tcPr/>
          <w:p>
            <w:pPr>
              <w:pStyle w:val="Compact"/>
            </w:pPr>
            <w:r>
              <w:t xml:space="preserve">0.641</w:t>
            </w:r>
          </w:p>
        </w:tc>
      </w:tr>
      <w:tr>
        <w:tc>
          <w:tcPr/>
          <w:p>
            <w:pPr>
              <w:pStyle w:val="Compact"/>
            </w:pPr>
            <w:r>
              <w:t xml:space="preserve">Sex + Tyrving + performance trajectory (Δ13–14)</w:t>
            </w:r>
          </w:p>
        </w:tc>
        <w:tc>
          <w:tcPr/>
          <w:p>
            <w:pPr>
              <w:pStyle w:val="Compact"/>
            </w:pPr>
            <w:r>
              <w:t xml:space="preserve">1,692</w:t>
            </w:r>
          </w:p>
        </w:tc>
        <w:tc>
          <w:tcPr/>
          <w:p>
            <w:pPr>
              <w:pStyle w:val="Compact"/>
            </w:pPr>
            <w:r>
              <w:t xml:space="preserve">0.701</w:t>
            </w:r>
          </w:p>
        </w:tc>
      </w:tr>
      <w:tr>
        <w:tc>
          <w:tcPr/>
          <w:p>
            <w:pPr>
              <w:pStyle w:val="Compact"/>
            </w:pPr>
            <w:r>
              <w:t xml:space="preserve">Sex + pre-milestone volume</w:t>
            </w:r>
          </w:p>
        </w:tc>
        <w:tc>
          <w:tcPr/>
          <w:p>
            <w:pPr>
              <w:pStyle w:val="Compact"/>
            </w:pPr>
            <w:r>
              <w:t xml:space="preserve">2,095</w:t>
            </w:r>
          </w:p>
        </w:tc>
        <w:tc>
          <w:tcPr/>
          <w:p>
            <w:pPr>
              <w:pStyle w:val="Compact"/>
            </w:pPr>
            <w:r>
              <w:t xml:space="preserve">0.739</w:t>
            </w:r>
          </w:p>
        </w:tc>
      </w:tr>
      <w:tr>
        <w:tc>
          <w:tcPr/>
          <w:p>
            <w:pPr>
              <w:pStyle w:val="Compact"/>
            </w:pPr>
            <w:r>
              <w:t xml:space="preserve">Sex + pre-milestone volume (trajectory subsample)</w:t>
            </w:r>
          </w:p>
        </w:tc>
        <w:tc>
          <w:tcPr/>
          <w:p>
            <w:pPr>
              <w:pStyle w:val="Compact"/>
            </w:pPr>
            <w:r>
              <w:t xml:space="preserve">1,692</w:t>
            </w:r>
          </w:p>
        </w:tc>
        <w:tc>
          <w:tcPr/>
          <w:p>
            <w:pPr>
              <w:pStyle w:val="Compact"/>
            </w:pPr>
            <w:r>
              <w:t xml:space="preserve">0.734</w:t>
            </w:r>
          </w:p>
        </w:tc>
      </w:tr>
      <w:tr>
        <w:tc>
          <w:tcPr/>
          <w:p>
            <w:pPr>
              <w:pStyle w:val="Compact"/>
            </w:pPr>
            <w:r>
              <w:t xml:space="preserve">Sex + Tyrving + pre-milestone volume</w:t>
            </w:r>
          </w:p>
        </w:tc>
        <w:tc>
          <w:tcPr/>
          <w:p>
            <w:pPr>
              <w:pStyle w:val="Compact"/>
            </w:pPr>
            <w:r>
              <w:t xml:space="preserve">2,095</w:t>
            </w:r>
          </w:p>
        </w:tc>
        <w:tc>
          <w:tcPr/>
          <w:p>
            <w:pPr>
              <w:pStyle w:val="Compact"/>
            </w:pPr>
            <w:r>
              <w:t xml:space="preserve">0.737</w:t>
            </w:r>
          </w:p>
        </w:tc>
      </w:tr>
    </w:tbl>
    <w:p>
      <w:pPr>
        <w:pStyle w:val="BodyText"/>
      </w:pPr>
      <w:r>
        <w:rPr>
          <w:i/>
          <w:iCs/>
        </w:rPr>
        <w:t xml:space="preserve">Note.</w:t>
      </w:r>
      <w:r>
        <w:t xml:space="preserve"> </w:t>
      </w:r>
      <w:r>
        <w:t xml:space="preserve">Both predictors are observed during the baseline window (ages 13–14). Volume discriminates better than baseline performance (difference 0.098 [0.063, 0.133]); adding Tyrving to volume does not change discrimination; the within-baseline performance trajectory narrows the gap (difference 0.033 [−0.003, 0.069] in the subsample with Tyrving at both ages). Differences with corrected 95% CIs: Supplementary Table S27.</w:t>
      </w:r>
    </w:p>
    <w:p>
      <w:r>
        <w:pict>
          <v:rect style="width:0;height:1.5pt" o:hralign="center" o:hrstd="t" o:hr="t"/>
        </w:pict>
      </w:r>
    </w:p>
    <w:bookmarkEnd w:id="37"/>
    <w:bookmarkStart w:id="38"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1.16</w:t>
            </w:r>
          </w:p>
        </w:tc>
        <w:tc>
          <w:tcPr/>
          <w:p>
            <w:pPr>
              <w:pStyle w:val="Compact"/>
            </w:pPr>
            <w:r>
              <w:t xml:space="preserve">[1.06, 1.27]</w:t>
            </w:r>
          </w:p>
        </w:tc>
        <w:tc>
          <w:tcPr/>
          <w:p>
            <w:pPr>
              <w:pStyle w:val="Compact"/>
            </w:pPr>
            <w:r>
              <w:t xml:space="preserve">.001</w:t>
            </w:r>
          </w:p>
        </w:tc>
      </w:tr>
      <w:tr>
        <w:tc>
          <w:tcPr/>
          <w:p>
            <w:pPr>
              <w:pStyle w:val="Compact"/>
            </w:pPr>
            <w:r>
              <w:t xml:space="preserve">Tyrving (z)</w:t>
            </w:r>
          </w:p>
        </w:tc>
        <w:tc>
          <w:tcPr/>
          <w:p>
            <w:pPr>
              <w:pStyle w:val="Compact"/>
            </w:pPr>
            <w:r>
              <w:t xml:space="preserve">0.96</w:t>
            </w:r>
          </w:p>
        </w:tc>
        <w:tc>
          <w:tcPr/>
          <w:p>
            <w:pPr>
              <w:pStyle w:val="Compact"/>
            </w:pPr>
            <w:r>
              <w:t xml:space="preserve">[0.92, 1.01]</w:t>
            </w:r>
          </w:p>
        </w:tc>
        <w:tc>
          <w:tcPr/>
          <w:p>
            <w:pPr>
              <w:pStyle w:val="Compact"/>
            </w:pPr>
            <w:r>
              <w:t xml:space="preserve">.119</w:t>
            </w:r>
          </w:p>
        </w:tc>
      </w:tr>
      <w:tr>
        <w:tc>
          <w:tcPr/>
          <w:p>
            <w:pPr>
              <w:pStyle w:val="Compact"/>
            </w:pPr>
            <w:r>
              <w:t xml:space="preserve">HHI, ages 13–14 (z)</w:t>
            </w:r>
          </w:p>
        </w:tc>
        <w:tc>
          <w:tcPr/>
          <w:p>
            <w:pPr>
              <w:pStyle w:val="Compact"/>
            </w:pPr>
            <w:r>
              <w:t xml:space="preserve">0.89</w:t>
            </w:r>
          </w:p>
        </w:tc>
        <w:tc>
          <w:tcPr/>
          <w:p>
            <w:pPr>
              <w:pStyle w:val="Compact"/>
            </w:pPr>
            <w:r>
              <w:t xml:space="preserve">[0.85, 0.94]</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0.54</w:t>
            </w:r>
          </w:p>
        </w:tc>
        <w:tc>
          <w:tcPr/>
          <w:p>
            <w:pPr>
              <w:pStyle w:val="Compact"/>
            </w:pPr>
            <w:r>
              <w:t xml:space="preserve">[0.50, 0.57]</w:t>
            </w:r>
          </w:p>
        </w:tc>
        <w:tc>
          <w:tcPr/>
          <w:p>
            <w:pPr>
              <w:pStyle w:val="Compact"/>
            </w:pPr>
            <w:r>
              <w:t xml:space="preserve">&lt; .001</w:t>
            </w:r>
          </w:p>
        </w:tc>
      </w:tr>
      <w:tr>
        <w:tc>
          <w:tcPr/>
          <w:p>
            <w:pPr>
              <w:pStyle w:val="Compact"/>
            </w:pPr>
            <w:r>
              <w:t xml:space="preserve">Q1 born</w:t>
            </w:r>
          </w:p>
        </w:tc>
        <w:tc>
          <w:tcPr/>
          <w:p>
            <w:pPr>
              <w:pStyle w:val="Compact"/>
            </w:pPr>
            <w:r>
              <w:t xml:space="preserve">1.00</w:t>
            </w:r>
          </w:p>
        </w:tc>
        <w:tc>
          <w:tcPr/>
          <w:p>
            <w:pPr>
              <w:pStyle w:val="Compact"/>
            </w:pPr>
            <w:r>
              <w:t xml:space="preserve">[0.91, 1.11]</w:t>
            </w:r>
          </w:p>
        </w:tc>
        <w:tc>
          <w:tcPr/>
          <w:p>
            <w:pPr>
              <w:pStyle w:val="Compact"/>
            </w:pPr>
            <w:r>
              <w:t xml:space="preserve">.982</w:t>
            </w:r>
          </w:p>
        </w:tc>
      </w:tr>
      <w:tr>
        <w:tc>
          <w:tcPr/>
          <w:p>
            <w:pPr>
              <w:pStyle w:val="Compact"/>
            </w:pPr>
            <w:r>
              <w:t xml:space="preserve">Q4 born</w:t>
            </w:r>
          </w:p>
        </w:tc>
        <w:tc>
          <w:tcPr/>
          <w:p>
            <w:pPr>
              <w:pStyle w:val="Compact"/>
            </w:pPr>
            <w:r>
              <w:t xml:space="preserve">0.87</w:t>
            </w:r>
          </w:p>
        </w:tc>
        <w:tc>
          <w:tcPr/>
          <w:p>
            <w:pPr>
              <w:pStyle w:val="Compact"/>
            </w:pPr>
            <w:r>
              <w:t xml:space="preserve">[0.76, 0.99]</w:t>
            </w:r>
          </w:p>
        </w:tc>
        <w:tc>
          <w:tcPr/>
          <w:p>
            <w:pPr>
              <w:pStyle w:val="Compact"/>
            </w:pPr>
            <w:r>
              <w:t xml:space="preserve">.032</w:t>
            </w:r>
          </w:p>
        </w:tc>
      </w:tr>
      <w:tr>
        <w:tc>
          <w:tcPr/>
          <w:p>
            <w:pPr>
              <w:pStyle w:val="Compact"/>
            </w:pPr>
            <w:r>
              <w:t xml:space="preserve">Region: Østlandet</w:t>
            </w:r>
          </w:p>
        </w:tc>
        <w:tc>
          <w:tcPr/>
          <w:p>
            <w:pPr>
              <w:pStyle w:val="Compact"/>
            </w:pPr>
            <w:r>
              <w:t xml:space="preserve">0.95</w:t>
            </w:r>
          </w:p>
        </w:tc>
        <w:tc>
          <w:tcPr/>
          <w:p>
            <w:pPr>
              <w:pStyle w:val="Compact"/>
            </w:pPr>
            <w:r>
              <w:t xml:space="preserve">[0.85, 1.06]</w:t>
            </w:r>
          </w:p>
        </w:tc>
        <w:tc>
          <w:tcPr/>
          <w:p>
            <w:pPr>
              <w:pStyle w:val="Compact"/>
            </w:pPr>
            <w:r>
              <w:t xml:space="preserve">.335</w:t>
            </w:r>
          </w:p>
        </w:tc>
      </w:tr>
      <w:tr>
        <w:tc>
          <w:tcPr/>
          <w:p>
            <w:pPr>
              <w:pStyle w:val="Compact"/>
            </w:pPr>
            <w:r>
              <w:t xml:space="preserve">Region: Midt-Norge</w:t>
            </w:r>
          </w:p>
        </w:tc>
        <w:tc>
          <w:tcPr/>
          <w:p>
            <w:pPr>
              <w:pStyle w:val="Compact"/>
            </w:pPr>
            <w:r>
              <w:t xml:space="preserve">1.01</w:t>
            </w:r>
          </w:p>
        </w:tc>
        <w:tc>
          <w:tcPr/>
          <w:p>
            <w:pPr>
              <w:pStyle w:val="Compact"/>
            </w:pPr>
            <w:r>
              <w:t xml:space="preserve">[0.90, 1.14]</w:t>
            </w:r>
          </w:p>
        </w:tc>
        <w:tc>
          <w:tcPr/>
          <w:p>
            <w:pPr>
              <w:pStyle w:val="Compact"/>
            </w:pPr>
            <w:r>
              <w:t xml:space="preserve">.862</w:t>
            </w:r>
          </w:p>
        </w:tc>
      </w:tr>
      <w:tr>
        <w:tc>
          <w:tcPr/>
          <w:p>
            <w:pPr>
              <w:pStyle w:val="Compact"/>
            </w:pPr>
            <w:r>
              <w:t xml:space="preserve">Club size (z)</w:t>
            </w:r>
          </w:p>
        </w:tc>
        <w:tc>
          <w:tcPr/>
          <w:p>
            <w:pPr>
              <w:pStyle w:val="Compact"/>
            </w:pPr>
            <w:r>
              <w:t xml:space="preserve">1.00</w:t>
            </w:r>
          </w:p>
        </w:tc>
        <w:tc>
          <w:tcPr/>
          <w:p>
            <w:pPr>
              <w:pStyle w:val="Compact"/>
            </w:pPr>
            <w:r>
              <w:t xml:space="preserve">[0.96, 1.05]</w:t>
            </w:r>
          </w:p>
        </w:tc>
        <w:tc>
          <w:tcPr/>
          <w:p>
            <w:pPr>
              <w:pStyle w:val="Compact"/>
            </w:pPr>
            <w:r>
              <w:t xml:space="preserve">.895</w:t>
            </w:r>
          </w:p>
        </w:tc>
      </w:tr>
    </w:tbl>
    <w:p>
      <w:pPr>
        <w:pStyle w:val="BodyText"/>
      </w:pPr>
      <w:r>
        <w:rPr>
          <w:i/>
          <w:iCs/>
        </w:rPr>
        <w:t xml:space="preserve">Note.</w:t>
      </w:r>
      <w:r>
        <w:t xml:space="preserve"> </w:t>
      </w:r>
      <w:r>
        <w:t xml:space="preserve">n = 2,095; C-index = 0.743. Higher HHI (specialization) associated with lower dropout hazard.</w:t>
      </w:r>
    </w:p>
    <w:p>
      <w:r>
        <w:pict>
          <v:rect style="width:0;height:1.5pt" o:hralign="center" o:hrstd="t" o:hr="t"/>
        </w:pict>
      </w:r>
    </w:p>
    <w:bookmarkEnd w:id="38"/>
    <w:bookmarkStart w:id="39"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1,473</w:t>
            </w:r>
          </w:p>
        </w:tc>
        <w:tc>
          <w:tcPr/>
          <w:p>
            <w:pPr>
              <w:pStyle w:val="Compact"/>
            </w:pPr>
            <w:r>
              <w:t xml:space="preserve">0.61 (±0.05)</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1,473</w:t>
            </w:r>
          </w:p>
        </w:tc>
        <w:tc>
          <w:tcPr/>
          <w:p>
            <w:pPr>
              <w:pStyle w:val="Compact"/>
            </w:pPr>
            <w:r>
              <w:t xml:space="preserve">0.59 (±0.01)</w:t>
            </w:r>
          </w:p>
        </w:tc>
      </w:tr>
      <w:tr>
        <w:tc>
          <w:tcPr/>
          <w:p>
            <w:pPr>
              <w:pStyle w:val="Compact"/>
            </w:pPr>
            <w:r>
              <w:t xml:space="preserve">Volume only (sex + meets ages 13–16)</w:t>
            </w:r>
          </w:p>
        </w:tc>
        <w:tc>
          <w:tcPr/>
          <w:p>
            <w:pPr>
              <w:pStyle w:val="Compact"/>
            </w:pPr>
            <w:r>
              <w:t xml:space="preserve">5</w:t>
            </w:r>
          </w:p>
        </w:tc>
        <w:tc>
          <w:tcPr/>
          <w:p>
            <w:pPr>
              <w:pStyle w:val="Compact"/>
            </w:pPr>
            <w:r>
              <w:t xml:space="preserve">1,473</w:t>
            </w:r>
          </w:p>
        </w:tc>
        <w:tc>
          <w:tcPr/>
          <w:p>
            <w:pPr>
              <w:pStyle w:val="Compact"/>
            </w:pPr>
            <w:r>
              <w:t xml:space="preserve">0.82 (±0.02)</w:t>
            </w:r>
          </w:p>
        </w:tc>
      </w:tr>
      <w:tr>
        <w:tc>
          <w:tcPr/>
          <w:p>
            <w:pPr>
              <w:pStyle w:val="Compact"/>
            </w:pPr>
            <w:r>
              <w:t xml:space="preserve">Volume + specialization (pre-baseline behavioral)</w:t>
            </w:r>
          </w:p>
        </w:tc>
        <w:tc>
          <w:tcPr/>
          <w:p>
            <w:pPr>
              <w:pStyle w:val="Compact"/>
            </w:pPr>
            <w:r>
              <w:t xml:space="preserve">8</w:t>
            </w:r>
          </w:p>
        </w:tc>
        <w:tc>
          <w:tcPr/>
          <w:p>
            <w:pPr>
              <w:pStyle w:val="Compact"/>
            </w:pPr>
            <w:r>
              <w:t xml:space="preserve">1,473</w:t>
            </w:r>
          </w:p>
        </w:tc>
        <w:tc>
          <w:tcPr/>
          <w:p>
            <w:pPr>
              <w:pStyle w:val="Compact"/>
            </w:pPr>
            <w:r>
              <w:t xml:space="preserve">0.82 (±0.03)</w:t>
            </w:r>
          </w:p>
        </w:tc>
      </w:tr>
      <w:tr>
        <w:tc>
          <w:tcPr/>
          <w:p>
            <w:pPr>
              <w:pStyle w:val="Compact"/>
            </w:pPr>
            <w:r>
              <w:t xml:space="preserve">Full model (all 22 predictors)</w:t>
            </w:r>
          </w:p>
        </w:tc>
        <w:tc>
          <w:tcPr/>
          <w:p>
            <w:pPr>
              <w:pStyle w:val="Compact"/>
            </w:pPr>
            <w:r>
              <w:t xml:space="preserve">22</w:t>
            </w:r>
          </w:p>
        </w:tc>
        <w:tc>
          <w:tcPr/>
          <w:p>
            <w:pPr>
              <w:pStyle w:val="Compact"/>
            </w:pPr>
            <w:r>
              <w:t xml:space="preserve">1,473</w:t>
            </w:r>
          </w:p>
        </w:tc>
        <w:tc>
          <w:tcPr/>
          <w:p>
            <w:pPr>
              <w:pStyle w:val="Compact"/>
            </w:pPr>
            <w:r>
              <w:t xml:space="preserve">0.82 (±0.03)</w:t>
            </w:r>
          </w:p>
        </w:tc>
      </w:tr>
    </w:tbl>
    <w:p>
      <w:pPr>
        <w:pStyle w:val="BodyText"/>
      </w:pPr>
      <w:r>
        <w:rPr>
          <w:i/>
          <w:iCs/>
        </w:rPr>
        <w:t xml:space="preserve">Note.</w:t>
      </w:r>
      <w:r>
        <w:t xml:space="preserve"> </w:t>
      </w:r>
      <w:r>
        <w:t xml:space="preserve">Descriptive comparison on the subsample with complete data on all 22 candidate predictors (n = 1,473; see Supplementary Table S12). This table includes post-baseline behavioral predictors (ages 15–16) and therefore overlaps with the early portion of the at-risk window; AUCs are descriptive rather than ordinary prospective prediction quantities.</w:t>
      </w:r>
    </w:p>
    <w:p>
      <w:r>
        <w:pict>
          <v:rect style="width:0;height:1.5pt" o:hralign="center" o:hrstd="t" o:hr="t"/>
        </w:pict>
      </w:r>
    </w:p>
    <w:bookmarkEnd w:id="39"/>
    <w:bookmarkStart w:id="40"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0.61</w:t>
            </w:r>
          </w:p>
        </w:tc>
        <w:tc>
          <w:tcPr/>
          <w:p>
            <w:pPr>
              <w:pStyle w:val="Compact"/>
            </w:pPr>
            <w:r>
              <w:t xml:space="preserve">[0.47, 0.79]</w:t>
            </w:r>
          </w:p>
        </w:tc>
        <w:tc>
          <w:tcPr/>
          <w:p>
            <w:pPr>
              <w:pStyle w:val="Compact"/>
            </w:pPr>
            <w:r>
              <w:t xml:space="preserve">&lt; .001</w:t>
            </w:r>
          </w:p>
        </w:tc>
      </w:tr>
      <w:tr>
        <w:tc>
          <w:tcPr/>
          <w:p>
            <w:pPr>
              <w:pStyle w:val="Compact"/>
            </w:pPr>
            <w:r>
              <w:t xml:space="preserve">n = 2,095</w:t>
            </w:r>
          </w:p>
        </w:tc>
        <w:tc>
          <w:tcPr/>
          <w:p>
            <w:pPr>
              <w:pStyle w:val="Compact"/>
            </w:pPr>
            <w:r>
              <w:t xml:space="preserve">Tyrving (z)</w:t>
            </w:r>
          </w:p>
        </w:tc>
        <w:tc>
          <w:tcPr/>
          <w:p>
            <w:pPr>
              <w:pStyle w:val="Compact"/>
            </w:pPr>
            <w:r>
              <w:t xml:space="preserve">1.23</w:t>
            </w:r>
          </w:p>
        </w:tc>
        <w:tc>
          <w:tcPr/>
          <w:p>
            <w:pPr>
              <w:pStyle w:val="Compact"/>
            </w:pPr>
            <w:r>
              <w:t xml:space="preserve">[1.06, 1.42]</w:t>
            </w:r>
          </w:p>
        </w:tc>
        <w:tc>
          <w:tcPr/>
          <w:p>
            <w:pPr>
              <w:pStyle w:val="Compact"/>
            </w:pPr>
            <w:r>
              <w:t xml:space="preserve">.006</w:t>
            </w:r>
          </w:p>
        </w:tc>
      </w:tr>
      <w:tr>
        <w:tc>
          <w:tcPr/>
          <w:p>
            <w:pPr>
              <w:pStyle w:val="Compact"/>
            </w:pPr>
          </w:p>
        </w:tc>
        <w:tc>
          <w:tcPr/>
          <w:p>
            <w:pPr>
              <w:pStyle w:val="Compact"/>
            </w:pPr>
            <w:r>
              <w:rPr>
                <w:b/>
                <w:bCs/>
              </w:rPr>
              <w:t xml:space="preserve">HHI, ages 13–14 (z)</w:t>
            </w:r>
          </w:p>
        </w:tc>
        <w:tc>
          <w:tcPr/>
          <w:p>
            <w:pPr>
              <w:pStyle w:val="Compact"/>
            </w:pPr>
            <w:r>
              <w:rPr>
                <w:b/>
                <w:bCs/>
              </w:rPr>
              <w:t xml:space="preserve">1.27</w:t>
            </w:r>
          </w:p>
        </w:tc>
        <w:tc>
          <w:tcPr/>
          <w:p>
            <w:pPr>
              <w:pStyle w:val="Compact"/>
            </w:pPr>
            <w:r>
              <w:rPr>
                <w:b/>
                <w:bCs/>
              </w:rPr>
              <w:t xml:space="preserve">[1.12, 1.44]</w:t>
            </w:r>
          </w:p>
        </w:tc>
        <w:tc>
          <w:tcPr/>
          <w:p>
            <w:pPr>
              <w:pStyle w:val="Compact"/>
            </w:pPr>
            <w:r>
              <w:rPr>
                <w:b/>
                <w:bCs/>
              </w:rPr>
              <w:t xml:space="preserve">&lt; .001</w:t>
            </w:r>
          </w:p>
        </w:tc>
      </w:tr>
      <w:tr>
        <w:tc>
          <w:tcPr/>
          <w:p>
            <w:pPr>
              <w:pStyle w:val="Compact"/>
            </w:pPr>
          </w:p>
        </w:tc>
        <w:tc>
          <w:tcPr/>
          <w:p>
            <w:pPr>
              <w:pStyle w:val="Compact"/>
            </w:pPr>
            <w:r>
              <w:t xml:space="preserve">Pre-milestone volume (z)</w:t>
            </w:r>
          </w:p>
        </w:tc>
        <w:tc>
          <w:tcPr/>
          <w:p>
            <w:pPr>
              <w:pStyle w:val="Compact"/>
            </w:pPr>
            <w:r>
              <w:t xml:space="preserve">2.25</w:t>
            </w:r>
          </w:p>
        </w:tc>
        <w:tc>
          <w:tcPr/>
          <w:p>
            <w:pPr>
              <w:pStyle w:val="Compact"/>
            </w:pPr>
            <w:r>
              <w:t xml:space="preserve">[1.99, 2.55]</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0.61</w:t>
            </w:r>
          </w:p>
        </w:tc>
        <w:tc>
          <w:tcPr/>
          <w:p>
            <w:pPr>
              <w:pStyle w:val="Compact"/>
            </w:pPr>
            <w:r>
              <w:t xml:space="preserve">[0.47, 0.78]</w:t>
            </w:r>
          </w:p>
        </w:tc>
        <w:tc>
          <w:tcPr/>
          <w:p>
            <w:pPr>
              <w:pStyle w:val="Compact"/>
            </w:pPr>
            <w:r>
              <w:t xml:space="preserve">&lt; .001</w:t>
            </w:r>
          </w:p>
        </w:tc>
      </w:tr>
      <w:tr>
        <w:tc>
          <w:tcPr/>
          <w:p>
            <w:pPr>
              <w:pStyle w:val="Compact"/>
            </w:pPr>
            <w:r>
              <w:t xml:space="preserve">n = 2,094</w:t>
            </w:r>
          </w:p>
        </w:tc>
        <w:tc>
          <w:tcPr/>
          <w:p>
            <w:pPr>
              <w:pStyle w:val="Compact"/>
            </w:pPr>
            <w:r>
              <w:t xml:space="preserve">Tyrving (z)</w:t>
            </w:r>
          </w:p>
        </w:tc>
        <w:tc>
          <w:tcPr/>
          <w:p>
            <w:pPr>
              <w:pStyle w:val="Compact"/>
            </w:pPr>
            <w:r>
              <w:t xml:space="preserve">1.08</w:t>
            </w:r>
          </w:p>
        </w:tc>
        <w:tc>
          <w:tcPr/>
          <w:p>
            <w:pPr>
              <w:pStyle w:val="Compact"/>
            </w:pPr>
            <w:r>
              <w:t xml:space="preserve">[0.90, 1.31]</w:t>
            </w:r>
          </w:p>
        </w:tc>
        <w:tc>
          <w:tcPr/>
          <w:p>
            <w:pPr>
              <w:pStyle w:val="Compact"/>
            </w:pPr>
            <w:r>
              <w:t xml:space="preserve">.398</w:t>
            </w:r>
          </w:p>
        </w:tc>
      </w:tr>
      <w:tr>
        <w:tc>
          <w:tcPr/>
          <w:p>
            <w:pPr>
              <w:pStyle w:val="Compact"/>
            </w:pPr>
          </w:p>
        </w:tc>
        <w:tc>
          <w:tcPr/>
          <w:p>
            <w:pPr>
              <w:pStyle w:val="Compact"/>
            </w:pPr>
            <w:r>
              <w:rPr>
                <w:b/>
                <w:bCs/>
              </w:rPr>
              <w:t xml:space="preserve">HHI, ages 13–14 (z)</w:t>
            </w:r>
          </w:p>
        </w:tc>
        <w:tc>
          <w:tcPr/>
          <w:p>
            <w:pPr>
              <w:pStyle w:val="Compact"/>
            </w:pPr>
            <w:r>
              <w:rPr>
                <w:b/>
                <w:bCs/>
              </w:rPr>
              <w:t xml:space="preserve">1.23</w:t>
            </w:r>
          </w:p>
        </w:tc>
        <w:tc>
          <w:tcPr/>
          <w:p>
            <w:pPr>
              <w:pStyle w:val="Compact"/>
            </w:pPr>
            <w:r>
              <w:rPr>
                <w:b/>
                <w:bCs/>
              </w:rPr>
              <w:t xml:space="preserve">[1.08, 1.41]</w:t>
            </w:r>
          </w:p>
        </w:tc>
        <w:tc>
          <w:tcPr/>
          <w:p>
            <w:pPr>
              <w:pStyle w:val="Compact"/>
            </w:pPr>
            <w:r>
              <w:rPr>
                <w:b/>
                <w:bCs/>
              </w:rPr>
              <w:t xml:space="preserve">.002</w:t>
            </w:r>
          </w:p>
        </w:tc>
      </w:tr>
      <w:tr>
        <w:tc>
          <w:tcPr/>
          <w:p>
            <w:pPr>
              <w:pStyle w:val="Compact"/>
            </w:pPr>
          </w:p>
        </w:tc>
        <w:tc>
          <w:tcPr/>
          <w:p>
            <w:pPr>
              <w:pStyle w:val="Compact"/>
            </w:pPr>
            <w:r>
              <w:t xml:space="preserve">Pre-milestone volume (z)</w:t>
            </w:r>
          </w:p>
        </w:tc>
        <w:tc>
          <w:tcPr/>
          <w:p>
            <w:pPr>
              <w:pStyle w:val="Compact"/>
            </w:pPr>
            <w:r>
              <w:t xml:space="preserve">2.16</w:t>
            </w:r>
          </w:p>
        </w:tc>
        <w:tc>
          <w:tcPr/>
          <w:p>
            <w:pPr>
              <w:pStyle w:val="Compact"/>
            </w:pPr>
            <w:r>
              <w:t xml:space="preserve">[1.90, 2.46]</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1.23</w:t>
            </w:r>
          </w:p>
        </w:tc>
        <w:tc>
          <w:tcPr/>
          <w:p>
            <w:pPr>
              <w:pStyle w:val="Compact"/>
            </w:pPr>
            <w:r>
              <w:t xml:space="preserve">[1.00, 1.50]</w:t>
            </w:r>
          </w:p>
        </w:tc>
        <w:tc>
          <w:tcPr/>
          <w:p>
            <w:pPr>
              <w:pStyle w:val="Compact"/>
            </w:pPr>
            <w:r>
              <w:t xml:space="preserve">.047</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0.61</w:t>
            </w:r>
          </w:p>
        </w:tc>
        <w:tc>
          <w:tcPr/>
          <w:p>
            <w:pPr>
              <w:pStyle w:val="Compact"/>
            </w:pPr>
            <w:r>
              <w:t xml:space="preserve">[0.47, 0.78]</w:t>
            </w:r>
          </w:p>
        </w:tc>
        <w:tc>
          <w:tcPr/>
          <w:p>
            <w:pPr>
              <w:pStyle w:val="Compact"/>
            </w:pPr>
            <w:r>
              <w:t xml:space="preserve">&lt; .001</w:t>
            </w:r>
          </w:p>
        </w:tc>
      </w:tr>
      <w:tr>
        <w:tc>
          <w:tcPr/>
          <w:p>
            <w:pPr>
              <w:pStyle w:val="Compact"/>
            </w:pPr>
            <w:r>
              <w:t xml:space="preserve">n = 2,097</w:t>
            </w:r>
          </w:p>
        </w:tc>
        <w:tc>
          <w:tcPr/>
          <w:p>
            <w:pPr>
              <w:pStyle w:val="Compact"/>
            </w:pPr>
            <w:r>
              <w:t xml:space="preserve">Tyrving main category (z)</w:t>
            </w:r>
          </w:p>
        </w:tc>
        <w:tc>
          <w:tcPr/>
          <w:p>
            <w:pPr>
              <w:pStyle w:val="Compact"/>
            </w:pPr>
            <w:r>
              <w:t xml:space="preserve">1.30</w:t>
            </w:r>
          </w:p>
        </w:tc>
        <w:tc>
          <w:tcPr/>
          <w:p>
            <w:pPr>
              <w:pStyle w:val="Compact"/>
            </w:pPr>
            <w:r>
              <w:t xml:space="preserve">[1.11, 1.52]</w:t>
            </w:r>
          </w:p>
        </w:tc>
        <w:tc>
          <w:tcPr/>
          <w:p>
            <w:pPr>
              <w:pStyle w:val="Compact"/>
            </w:pPr>
            <w:r>
              <w:t xml:space="preserve">.001</w:t>
            </w:r>
          </w:p>
        </w:tc>
      </w:tr>
      <w:tr>
        <w:tc>
          <w:tcPr/>
          <w:p>
            <w:pPr>
              <w:pStyle w:val="Compact"/>
            </w:pPr>
          </w:p>
        </w:tc>
        <w:tc>
          <w:tcPr/>
          <w:p>
            <w:pPr>
              <w:pStyle w:val="Compact"/>
            </w:pPr>
            <w:r>
              <w:rPr>
                <w:b/>
                <w:bCs/>
              </w:rPr>
              <w:t xml:space="preserve">HHI, ages 13–14 (z)</w:t>
            </w:r>
          </w:p>
        </w:tc>
        <w:tc>
          <w:tcPr/>
          <w:p>
            <w:pPr>
              <w:pStyle w:val="Compact"/>
            </w:pPr>
            <w:r>
              <w:rPr>
                <w:b/>
                <w:bCs/>
              </w:rPr>
              <w:t xml:space="preserve">1.22</w:t>
            </w:r>
          </w:p>
        </w:tc>
        <w:tc>
          <w:tcPr/>
          <w:p>
            <w:pPr>
              <w:pStyle w:val="Compact"/>
            </w:pPr>
            <w:r>
              <w:rPr>
                <w:b/>
                <w:bCs/>
              </w:rPr>
              <w:t xml:space="preserve">[1.07, 1.38]</w:t>
            </w:r>
          </w:p>
        </w:tc>
        <w:tc>
          <w:tcPr/>
          <w:p>
            <w:pPr>
              <w:pStyle w:val="Compact"/>
            </w:pPr>
            <w:r>
              <w:rPr>
                <w:b/>
                <w:bCs/>
              </w:rPr>
              <w:t xml:space="preserve">.002</w:t>
            </w:r>
          </w:p>
        </w:tc>
      </w:tr>
      <w:tr>
        <w:tc>
          <w:tcPr/>
          <w:p>
            <w:pPr>
              <w:pStyle w:val="Compact"/>
            </w:pPr>
          </w:p>
        </w:tc>
        <w:tc>
          <w:tcPr/>
          <w:p>
            <w:pPr>
              <w:pStyle w:val="Compact"/>
            </w:pPr>
            <w:r>
              <w:t xml:space="preserve">Pre-milestone volume (z)</w:t>
            </w:r>
          </w:p>
        </w:tc>
        <w:tc>
          <w:tcPr/>
          <w:p>
            <w:pPr>
              <w:pStyle w:val="Compact"/>
            </w:pPr>
            <w:r>
              <w:t xml:space="preserve">2.16</w:t>
            </w:r>
          </w:p>
        </w:tc>
        <w:tc>
          <w:tcPr/>
          <w:p>
            <w:pPr>
              <w:pStyle w:val="Compact"/>
            </w:pPr>
            <w:r>
              <w:t xml:space="preserve">[1.89, 2.46]</w:t>
            </w:r>
          </w:p>
        </w:tc>
        <w:tc>
          <w:tcPr/>
          <w:p>
            <w:pPr>
              <w:pStyle w:val="Compact"/>
            </w:pPr>
            <w:r>
              <w:t xml:space="preserve">&lt; .001</w:t>
            </w:r>
          </w:p>
        </w:tc>
      </w:tr>
    </w:tbl>
    <w:p>
      <w:pPr>
        <w:pStyle w:val="BodyText"/>
      </w:pPr>
      <w:r>
        <w:rPr>
          <w:i/>
          <w:iCs/>
        </w:rPr>
        <w:t xml:space="preserve">Note.</w:t>
      </w:r>
      <w:r>
        <w:t xml:space="preserve"> </w:t>
      </w:r>
      <w:r>
        <w:t xml:space="preserve">Correlations: HHI vs. Tyrving best, r = -0.20; HHI vs. Tyrving main category, r = −0.06; Tyrving best vs. Tyrving main, r = 0.71. HHI is essentially uncorrelated with main-category performance and only weakly (negatively) with best performance across events. The HHI coefficient is stable across the three specifications (OR 1.22–1.27); main-category Tyrving has a modest independent association (OR 1.23–1.30).</w:t>
      </w:r>
    </w:p>
    <w:p>
      <w:r>
        <w:pict>
          <v:rect style="width:0;height:1.5pt" o:hralign="center" o:hrstd="t" o:hr="t"/>
        </w:pict>
      </w:r>
    </w:p>
    <w:bookmarkEnd w:id="40"/>
    <w:bookmarkStart w:id="41"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795</w:t>
            </w:r>
          </w:p>
        </w:tc>
      </w:tr>
      <w:tr>
        <w:tc>
          <w:tcPr/>
          <w:p>
            <w:pPr>
              <w:pStyle w:val="Compact"/>
            </w:pPr>
            <w:r>
              <w:t xml:space="preserve">Aligned volume T−2 (median [IQR])</w:t>
            </w:r>
          </w:p>
        </w:tc>
        <w:tc>
          <w:tcPr/>
          <w:p>
            <w:pPr>
              <w:pStyle w:val="Compact"/>
            </w:pPr>
            <w:r>
              <w:t xml:space="preserve">10 [6–16]</w:t>
            </w:r>
          </w:p>
        </w:tc>
        <w:tc>
          <w:tcPr/>
          <w:p>
            <w:pPr>
              <w:pStyle w:val="Compact"/>
            </w:pPr>
            <w:r>
              <w:t xml:space="preserve">1,139</w:t>
            </w:r>
          </w:p>
        </w:tc>
      </w:tr>
      <w:tr>
        <w:tc>
          <w:tcPr/>
          <w:p>
            <w:pPr>
              <w:pStyle w:val="Compact"/>
            </w:pPr>
            <w:r>
              <w:t xml:space="preserve">Aligned volume T−1 (median [IQR])</w:t>
            </w:r>
          </w:p>
        </w:tc>
        <w:tc>
          <w:tcPr/>
          <w:p>
            <w:pPr>
              <w:pStyle w:val="Compact"/>
            </w:pPr>
            <w:r>
              <w:t xml:space="preserve">9 [5–14]</w:t>
            </w:r>
          </w:p>
        </w:tc>
        <w:tc>
          <w:tcPr/>
          <w:p>
            <w:pPr>
              <w:pStyle w:val="Compact"/>
            </w:pPr>
            <w:r>
              <w:t xml:space="preserve">1,139</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1,139</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1,139</w:t>
            </w:r>
          </w:p>
        </w:tc>
      </w:tr>
      <w:tr>
        <w:tc>
          <w:tcPr/>
          <w:p>
            <w:pPr>
              <w:pStyle w:val="Compact"/>
            </w:pPr>
            <w:r>
              <w:t xml:space="preserve">Reduced-but-nonzero penultimate season (final age ≥16)</w:t>
            </w:r>
          </w:p>
        </w:tc>
        <w:tc>
          <w:tcPr/>
          <w:p>
            <w:pPr>
              <w:pStyle w:val="Compact"/>
            </w:pPr>
            <w:r>
              <w:t xml:space="preserve">74.2%</w:t>
            </w:r>
          </w:p>
        </w:tc>
        <w:tc>
          <w:tcPr/>
          <w:p>
            <w:pPr>
              <w:pStyle w:val="Compact"/>
            </w:pPr>
            <w:r>
              <w:t xml:space="preserve">795</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795</w:t>
            </w:r>
          </w:p>
        </w:tc>
      </w:tr>
      <w:tr>
        <w:tc>
          <w:tcPr/>
          <w:p>
            <w:pPr>
              <w:pStyle w:val="Compact"/>
            </w:pPr>
            <w:r>
              <w:t xml:space="preserve">Penultimate at personal peak (abrupt profile)</w:t>
            </w:r>
          </w:p>
        </w:tc>
        <w:tc>
          <w:tcPr/>
          <w:p>
            <w:pPr>
              <w:pStyle w:val="Compact"/>
            </w:pPr>
            <w:r>
              <w:t xml:space="preserve">19.2%</w:t>
            </w:r>
          </w:p>
        </w:tc>
        <w:tc>
          <w:tcPr/>
          <w:p>
            <w:pPr>
              <w:pStyle w:val="Compact"/>
            </w:pPr>
            <w:r>
              <w:t xml:space="preserve">795</w:t>
            </w:r>
          </w:p>
        </w:tc>
      </w:tr>
      <w:tr>
        <w:tc>
          <w:tcPr/>
          <w:p>
            <w:pPr>
              <w:pStyle w:val="Compact"/>
            </w:pPr>
            <w:r>
              <w:t xml:space="preserve">Volume in final season below personal peak</w:t>
            </w:r>
          </w:p>
        </w:tc>
        <w:tc>
          <w:tcPr/>
          <w:p>
            <w:pPr>
              <w:pStyle w:val="Compact"/>
            </w:pPr>
            <w:r>
              <w:t xml:space="preserve">93.5%</w:t>
            </w:r>
          </w:p>
        </w:tc>
        <w:tc>
          <w:tcPr/>
          <w:p>
            <w:pPr>
              <w:pStyle w:val="Compact"/>
            </w:pPr>
            <w:r>
              <w:t xml:space="preserve">1,139</w:t>
            </w:r>
          </w:p>
        </w:tc>
      </w:tr>
      <w:tr>
        <w:tc>
          <w:tcPr/>
          <w:p>
            <w:pPr>
              <w:pStyle w:val="Compact"/>
            </w:pPr>
            <w:r>
              <w:t xml:space="preserve">Change model among active at 16: volume at 15 (per SD)</w:t>
            </w:r>
          </w:p>
        </w:tc>
        <w:tc>
          <w:tcPr/>
          <w:p>
            <w:pPr>
              <w:pStyle w:val="Compact"/>
            </w:pPr>
            <w:r>
              <w:t xml:space="preserve">OR 3.04 [2.55, 3.63]</w:t>
            </w:r>
          </w:p>
        </w:tc>
        <w:tc>
          <w:tcPr/>
          <w:p>
            <w:pPr>
              <w:pStyle w:val="Compact"/>
            </w:pPr>
            <w:r>
              <w:t xml:space="preserve">1,075</w:t>
            </w:r>
          </w:p>
        </w:tc>
      </w:tr>
      <w:tr>
        <w:tc>
          <w:tcPr/>
          <w:p>
            <w:pPr>
              <w:pStyle w:val="Compact"/>
            </w:pPr>
            <w:r>
              <w:t xml:space="preserve">Change model among active at 16: change 15→16 (per SD increase)</w:t>
            </w:r>
          </w:p>
        </w:tc>
        <w:tc>
          <w:tcPr/>
          <w:p>
            <w:pPr>
              <w:pStyle w:val="Compact"/>
            </w:pPr>
            <w:r>
              <w:t xml:space="preserve">OR 1.88 [1.60, 2.20]</w:t>
            </w:r>
          </w:p>
        </w:tc>
        <w:tc>
          <w:tcPr/>
          <w:p>
            <w:pPr>
              <w:pStyle w:val="Compact"/>
            </w:pPr>
            <w:r>
              <w:t xml:space="preserve">1,075</w:t>
            </w:r>
          </w:p>
        </w:tc>
      </w:tr>
      <w:tr>
        <w:tc>
          <w:tcPr/>
          <w:p>
            <w:pPr>
              <w:pStyle w:val="Compact"/>
            </w:pPr>
            <w:r>
              <w:t xml:space="preserve">Change model among active at 16: change 15→16 (per SD decline)</w:t>
            </w:r>
          </w:p>
        </w:tc>
        <w:tc>
          <w:tcPr/>
          <w:p>
            <w:pPr>
              <w:pStyle w:val="Compact"/>
            </w:pPr>
            <w:r>
              <w:t xml:space="preserve">OR 0.53 [0.45, 0.62]</w:t>
            </w:r>
          </w:p>
        </w:tc>
        <w:tc>
          <w:tcPr/>
          <w:p>
            <w:pPr>
              <w:pStyle w:val="Compact"/>
            </w:pPr>
            <w:r>
              <w:t xml:space="preserve">1,075</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1,139;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0.761; change = volume at 16 minus volume at 15); all predictors are measured by 16, so neither predictor can be the exit itself. See Supplementary Methods S-M6.</w:t>
      </w:r>
    </w:p>
    <w:p>
      <w:r>
        <w:pict>
          <v:rect style="width:0;height:1.5pt" o:hralign="center" o:hrstd="t" o:hr="t"/>
        </w:pict>
      </w:r>
    </w:p>
    <w:bookmarkEnd w:id="41"/>
    <w:bookmarkStart w:id="42"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2,095</w:t>
            </w:r>
          </w:p>
        </w:tc>
        <w:tc>
          <w:tcPr/>
          <w:p>
            <w:pPr>
              <w:pStyle w:val="Compact"/>
            </w:pPr>
            <w:r>
              <w:t xml:space="preserve">1.27 [1.12, 1.44]</w:t>
            </w:r>
          </w:p>
        </w:tc>
        <w:tc>
          <w:tcPr/>
          <w:p>
            <w:pPr>
              <w:pStyle w:val="Compact"/>
            </w:pPr>
            <w:r>
              <w:t xml:space="preserve">2.25</w:t>
            </w:r>
          </w:p>
        </w:tc>
      </w:tr>
      <w:tr>
        <w:tc>
          <w:tcPr/>
          <w:p>
            <w:pPr>
              <w:pStyle w:val="Compact"/>
            </w:pPr>
            <w:r>
              <w:t xml:space="preserve">≥ 5 results at ages 13-14</w:t>
            </w:r>
          </w:p>
        </w:tc>
        <w:tc>
          <w:tcPr/>
          <w:p>
            <w:pPr>
              <w:pStyle w:val="Compact"/>
            </w:pPr>
            <w:r>
              <w:t xml:space="preserve">2,019</w:t>
            </w:r>
          </w:p>
        </w:tc>
        <w:tc>
          <w:tcPr/>
          <w:p>
            <w:pPr>
              <w:pStyle w:val="Compact"/>
            </w:pPr>
            <w:r>
              <w:t xml:space="preserve">1.26 [1.11, 1.43]</w:t>
            </w:r>
          </w:p>
        </w:tc>
        <w:tc>
          <w:tcPr/>
          <w:p>
            <w:pPr>
              <w:pStyle w:val="Compact"/>
            </w:pPr>
            <w:r>
              <w:t xml:space="preserve">2.23</w:t>
            </w:r>
          </w:p>
        </w:tc>
      </w:tr>
      <w:tr>
        <w:tc>
          <w:tcPr/>
          <w:p>
            <w:pPr>
              <w:pStyle w:val="Compact"/>
            </w:pPr>
            <w:r>
              <w:t xml:space="preserve">≥ 8 results at ages 13-14</w:t>
            </w:r>
          </w:p>
        </w:tc>
        <w:tc>
          <w:tcPr/>
          <w:p>
            <w:pPr>
              <w:pStyle w:val="Compact"/>
            </w:pPr>
            <w:r>
              <w:t xml:space="preserve">1,873</w:t>
            </w:r>
          </w:p>
        </w:tc>
        <w:tc>
          <w:tcPr/>
          <w:p>
            <w:pPr>
              <w:pStyle w:val="Compact"/>
            </w:pPr>
            <w:r>
              <w:t xml:space="preserve">1.24 [1.10, 1.40]</w:t>
            </w:r>
          </w:p>
        </w:tc>
        <w:tc>
          <w:tcPr/>
          <w:p>
            <w:pPr>
              <w:pStyle w:val="Compact"/>
            </w:pPr>
            <w:r>
              <w:t xml:space="preserve">2.19</w:t>
            </w:r>
          </w:p>
        </w:tc>
      </w:tr>
      <w:tr>
        <w:tc>
          <w:tcPr/>
          <w:p>
            <w:pPr>
              <w:pStyle w:val="Compact"/>
            </w:pPr>
            <w:r>
              <w:t xml:space="preserve">Finite-sample-corrected HHI* = (HHI - 1/n)/(1 - 1/n)</w:t>
            </w:r>
          </w:p>
        </w:tc>
        <w:tc>
          <w:tcPr/>
          <w:p>
            <w:pPr>
              <w:pStyle w:val="Compact"/>
            </w:pPr>
            <w:r>
              <w:t xml:space="preserve">2,085</w:t>
            </w:r>
          </w:p>
        </w:tc>
        <w:tc>
          <w:tcPr/>
          <w:p>
            <w:pPr>
              <w:pStyle w:val="Compact"/>
            </w:pPr>
            <w:r>
              <w:t xml:space="preserve">1.29 [1.14, 1.46]</w:t>
            </w:r>
          </w:p>
        </w:tc>
        <w:tc>
          <w:tcPr/>
          <w:p>
            <w:pPr>
              <w:pStyle w:val="Compact"/>
            </w:pPr>
            <w:r>
              <w:t xml:space="preserve">2.21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-0.23. The HHI–retention association is unchanged under count restrictions and the corrected index; it is not a small-count artifact. See Supplementary Methods S-M8.</w:t>
      </w:r>
    </w:p>
    <w:p>
      <w:r>
        <w:pict>
          <v:rect style="width:0;height:1.5pt" o:hralign="center" o:hrstd="t" o:hr="t"/>
        </w:pict>
      </w:r>
    </w:p>
    <w:bookmarkEnd w:id="42"/>
    <w:bookmarkStart w:id="43"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Revised scoring: complete case (primary)</w:t>
            </w:r>
          </w:p>
        </w:tc>
        <w:tc>
          <w:tcPr/>
          <w:p>
            <w:pPr>
              <w:pStyle w:val="Compact"/>
            </w:pPr>
            <w:r>
              <w:t xml:space="preserve">2,095</w:t>
            </w:r>
          </w:p>
        </w:tc>
        <w:tc>
          <w:tcPr/>
          <w:p>
            <w:pPr>
              <w:pStyle w:val="Compact"/>
            </w:pPr>
            <w:r>
              <w:t xml:space="preserve">2.25 [1.99, 2.55]</w:t>
            </w:r>
          </w:p>
        </w:tc>
        <w:tc>
          <w:tcPr/>
          <w:p>
            <w:pPr>
              <w:pStyle w:val="Compact"/>
            </w:pPr>
            <w:r>
              <w:t xml:space="preserve">1.27 [1.12, 1.44]</w:t>
            </w:r>
          </w:p>
        </w:tc>
        <w:tc>
          <w:tcPr/>
          <w:p>
            <w:pPr>
              <w:pStyle w:val="Compact"/>
            </w:pPr>
            <w:r>
              <w:t xml:space="preserve">1.23 [1.06, 1.42]</w:t>
            </w:r>
          </w:p>
        </w:tc>
        <w:tc>
          <w:tcPr/>
          <w:p>
            <w:pPr>
              <w:pStyle w:val="Compact"/>
            </w:pPr>
            <w:r>
              <w:t xml:space="preserve">0.746</w:t>
            </w:r>
          </w:p>
        </w:tc>
      </w:tr>
      <w:tr>
        <w:tc>
          <w:tcPr/>
          <w:p>
            <w:pPr>
              <w:pStyle w:val="Compact"/>
            </w:pPr>
            <w:r>
              <w:t xml:space="preserve">Revised scoring: multiple imputation (m = 20)</w:t>
            </w:r>
          </w:p>
        </w:tc>
        <w:tc>
          <w:tcPr/>
          <w:p>
            <w:pPr>
              <w:pStyle w:val="Compact"/>
            </w:pPr>
            <w:r>
              <w:t xml:space="preserve">2,099</w:t>
            </w:r>
          </w:p>
        </w:tc>
        <w:tc>
          <w:tcPr/>
          <w:p>
            <w:pPr>
              <w:pStyle w:val="Compact"/>
            </w:pPr>
            <w:r>
              <w:t xml:space="preserve">2.25 [1.99, 2.55]</w:t>
            </w:r>
          </w:p>
        </w:tc>
        <w:tc>
          <w:tcPr/>
          <w:p>
            <w:pPr>
              <w:pStyle w:val="Compact"/>
            </w:pPr>
            <w:r>
              <w:t xml:space="preserve">1.27 [1.12, 1.44]</w:t>
            </w:r>
          </w:p>
        </w:tc>
        <w:tc>
          <w:tcPr/>
          <w:p>
            <w:pPr>
              <w:pStyle w:val="Compact"/>
            </w:pPr>
            <w:r>
              <w:t xml:space="preserve">1.23 [1.06, 1.42]</w:t>
            </w:r>
          </w:p>
        </w:tc>
        <w:tc>
          <w:tcPr/>
          <w:p>
            <w:pPr>
              <w:pStyle w:val="Compact"/>
            </w:pPr>
          </w:p>
        </w:tc>
      </w:tr>
      <w:tr>
        <w:tc>
          <w:tcPr/>
          <w:p>
            <w:pPr>
              <w:pStyle w:val="Compact"/>
            </w:pPr>
            <w:r>
              <w:t xml:space="preserve">Original (incomplete) scoring: complete case</w:t>
            </w:r>
          </w:p>
        </w:tc>
        <w:tc>
          <w:tcPr/>
          <w:p>
            <w:pPr>
              <w:pStyle w:val="Compact"/>
            </w:pPr>
            <w:r>
              <w:t xml:space="preserve">1,704</w:t>
            </w:r>
          </w:p>
        </w:tc>
        <w:tc>
          <w:tcPr/>
          <w:p>
            <w:pPr>
              <w:pStyle w:val="Compact"/>
            </w:pPr>
            <w:r>
              <w:t xml:space="preserve">2.33 [2.02, 2.68]</w:t>
            </w:r>
          </w:p>
        </w:tc>
        <w:tc>
          <w:tcPr/>
          <w:p>
            <w:pPr>
              <w:pStyle w:val="Compact"/>
            </w:pPr>
            <w:r>
              <w:t xml:space="preserve">1.24 [1.07, 1.44]</w:t>
            </w:r>
          </w:p>
        </w:tc>
        <w:tc>
          <w:tcPr/>
          <w:p>
            <w:pPr>
              <w:pStyle w:val="Compact"/>
            </w:pPr>
            <w:r>
              <w:t xml:space="preserve">1.14 [0.98, 1.33]</w:t>
            </w:r>
          </w:p>
        </w:tc>
        <w:tc>
          <w:tcPr/>
          <w:p>
            <w:pPr>
              <w:pStyle w:val="Compact"/>
            </w:pPr>
            <w:r>
              <w:t xml:space="preserve">0.746</w:t>
            </w:r>
          </w:p>
        </w:tc>
      </w:tr>
      <w:tr>
        <w:tc>
          <w:tcPr/>
          <w:p>
            <w:pPr>
              <w:pStyle w:val="Compact"/>
            </w:pPr>
            <w:r>
              <w:t xml:space="preserve">Original (incomplete) scoring: MI (m = 20), outcome in imputation model</w:t>
            </w:r>
          </w:p>
        </w:tc>
        <w:tc>
          <w:tcPr/>
          <w:p>
            <w:pPr>
              <w:pStyle w:val="Compact"/>
            </w:pPr>
            <w:r>
              <w:t xml:space="preserve">2,099</w:t>
            </w:r>
          </w:p>
        </w:tc>
        <w:tc>
          <w:tcPr/>
          <w:p>
            <w:pPr>
              <w:pStyle w:val="Compact"/>
            </w:pPr>
            <w:r>
              <w:t xml:space="preserve">2.31 [2.04, 2.61]</w:t>
            </w:r>
          </w:p>
        </w:tc>
        <w:tc>
          <w:tcPr/>
          <w:p>
            <w:pPr>
              <w:pStyle w:val="Compact"/>
            </w:pPr>
            <w:r>
              <w:t xml:space="preserve">1.25 [1.10, 1.41]</w:t>
            </w:r>
          </w:p>
        </w:tc>
        <w:tc>
          <w:tcPr/>
          <w:p>
            <w:pPr>
              <w:pStyle w:val="Compact"/>
            </w:pPr>
            <w:r>
              <w:t xml:space="preserve">1.13 [0.98, 1.31]</w:t>
            </w:r>
          </w:p>
        </w:tc>
        <w:tc>
          <w:tcPr/>
          <w:p>
            <w:pPr>
              <w:pStyle w:val="Compact"/>
            </w:pPr>
            <w:r>
              <w:t xml:space="preserve">0.746 (0.740-0.749)</w:t>
            </w:r>
          </w:p>
        </w:tc>
      </w:tr>
      <w:tr>
        <w:tc>
          <w:tcPr/>
          <w:p>
            <w:pPr>
              <w:pStyle w:val="Compact"/>
            </w:pPr>
            <w:r>
              <w:t xml:space="preserve">Original (incomplete) scoring: MI with auxiliary variables (baseline event category, region, cohort, club size, result count)</w:t>
            </w:r>
          </w:p>
        </w:tc>
        <w:tc>
          <w:tcPr/>
          <w:p>
            <w:pPr>
              <w:pStyle w:val="Compact"/>
            </w:pPr>
            <w:r>
              <w:t xml:space="preserve">2,099</w:t>
            </w:r>
          </w:p>
        </w:tc>
        <w:tc>
          <w:tcPr/>
          <w:p>
            <w:pPr>
              <w:pStyle w:val="Compact"/>
            </w:pPr>
            <w:r>
              <w:t xml:space="preserve">2.30 [2.03, 2.60]</w:t>
            </w:r>
          </w:p>
        </w:tc>
        <w:tc>
          <w:tcPr/>
          <w:p>
            <w:pPr>
              <w:pStyle w:val="Compact"/>
            </w:pPr>
            <w:r>
              <w:t xml:space="preserve">1.25 [1.10, 1.41]</w:t>
            </w:r>
          </w:p>
        </w:tc>
        <w:tc>
          <w:tcPr/>
          <w:p>
            <w:pPr>
              <w:pStyle w:val="Compact"/>
            </w:pPr>
            <w:r>
              <w:t xml:space="preserve">1.16 [1.01, 1.34]</w:t>
            </w:r>
          </w:p>
        </w:tc>
        <w:tc>
          <w:tcPr/>
          <w:p>
            <w:pPr>
              <w:pStyle w:val="Compact"/>
            </w:pPr>
          </w:p>
        </w:tc>
      </w:tr>
    </w:tbl>
    <w:p>
      <w:pPr>
        <w:pStyle w:val="BodyText"/>
      </w:pPr>
      <w:r>
        <w:rPr>
          <w:i/>
          <w:iCs/>
        </w:rPr>
        <w:t xml:space="preserve">Note.</w:t>
      </w:r>
      <w:r>
        <w:t xml:space="preserve"> </w:t>
      </w:r>
      <w:r>
        <w:t xml:space="preserve">With the revised Tyrving scoring only 4 sex-known athletes lack a baseline score, so imputation and complete-case analysis coincide. The lower rows repeat the analysis with the original, incomplete scoring (Tyrving missing for 395 sex-known athletes, 18.8%): chained-equation imputation (m = 20) with the outcome in the imputation model leaves all estimates unchanged, and predictive performance with imputation fitted inside each training fold (outcome excluded) equals the complete-case CV-AUC. Details: Supplementary Methods S-M3.</w:t>
      </w:r>
    </w:p>
    <w:p>
      <w:r>
        <w:pict>
          <v:rect style="width:0;height:1.5pt" o:hralign="center" o:hrstd="t" o:hr="t"/>
        </w:pict>
      </w:r>
    </w:p>
    <w:bookmarkEnd w:id="43"/>
    <w:bookmarkStart w:id="44"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0.24</w:t>
            </w:r>
          </w:p>
        </w:tc>
        <w:tc>
          <w:tcPr/>
          <w:p>
            <w:pPr>
              <w:pStyle w:val="Compact"/>
            </w:pPr>
            <w:r>
              <w:t xml:space="preserve">2,095 athletes, 287 clubs</w:t>
            </w:r>
          </w:p>
        </w:tc>
      </w:tr>
      <w:tr>
        <w:tc>
          <w:tcPr/>
          <w:p>
            <w:pPr>
              <w:pStyle w:val="Compact"/>
            </w:pPr>
            <w:r>
              <w:t xml:space="preserve">Volume OR, primary (no club terms)</w:t>
            </w:r>
          </w:p>
        </w:tc>
        <w:tc>
          <w:tcPr/>
          <w:p>
            <w:pPr>
              <w:pStyle w:val="Compact"/>
            </w:pPr>
            <w:r>
              <w:t xml:space="preserve">2.25</w:t>
            </w:r>
          </w:p>
        </w:tc>
        <w:tc>
          <w:tcPr/>
          <w:p>
            <w:pPr>
              <w:pStyle w:val="Compact"/>
            </w:pPr>
            <w:r>
              <w:t xml:space="preserve">2,095</w:t>
            </w:r>
          </w:p>
        </w:tc>
      </w:tr>
      <w:tr>
        <w:tc>
          <w:tcPr/>
          <w:p>
            <w:pPr>
              <w:pStyle w:val="Compact"/>
            </w:pPr>
            <w:r>
              <w:t xml:space="preserve">Volume OR, club random intercepts</w:t>
            </w:r>
          </w:p>
        </w:tc>
        <w:tc>
          <w:tcPr/>
          <w:p>
            <w:pPr>
              <w:pStyle w:val="Compact"/>
            </w:pPr>
            <w:r>
              <w:t xml:space="preserve">2.43 [2.17, 2.72]</w:t>
            </w:r>
          </w:p>
        </w:tc>
        <w:tc>
          <w:tcPr/>
          <w:p>
            <w:pPr>
              <w:pStyle w:val="Compact"/>
            </w:pPr>
            <w:r>
              <w:t xml:space="preserve">2,095</w:t>
            </w:r>
          </w:p>
        </w:tc>
      </w:tr>
      <w:tr>
        <w:tc>
          <w:tcPr/>
          <w:p>
            <w:pPr>
              <w:pStyle w:val="Compact"/>
            </w:pPr>
            <w:r>
              <w:t xml:space="preserve">HHI OR, club random intercepts</w:t>
            </w:r>
          </w:p>
        </w:tc>
        <w:tc>
          <w:tcPr/>
          <w:p>
            <w:pPr>
              <w:pStyle w:val="Compact"/>
            </w:pPr>
            <w:r>
              <w:t xml:space="preserve">1.25</w:t>
            </w:r>
          </w:p>
        </w:tc>
        <w:tc>
          <w:tcPr/>
          <w:p>
            <w:pPr>
              <w:pStyle w:val="Compact"/>
            </w:pPr>
            <w:r>
              <w:t xml:space="preserve">2,095</w:t>
            </w:r>
          </w:p>
        </w:tc>
      </w:tr>
      <w:tr>
        <w:tc>
          <w:tcPr/>
          <w:p>
            <w:pPr>
              <w:pStyle w:val="Compact"/>
            </w:pPr>
            <w:r>
              <w:t xml:space="preserve">CV-AUC, folds grouped by club (20 repeats)</w:t>
            </w:r>
          </w:p>
        </w:tc>
        <w:tc>
          <w:tcPr/>
          <w:p>
            <w:pPr>
              <w:pStyle w:val="Compact"/>
            </w:pPr>
            <w:r>
              <w:t xml:space="preserve">0.746 [0.709, 0.783]</w:t>
            </w:r>
          </w:p>
        </w:tc>
        <w:tc>
          <w:tcPr/>
          <w:p>
            <w:pPr>
              <w:pStyle w:val="Compact"/>
            </w:pPr>
            <w:r>
              <w:t xml:space="preserve">2,095</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and discrimination is unchanged when validation clubs are held out of fitting: the association is not a club-supply artifact. See Supplementary Methods S-M7.</w:t>
      </w:r>
    </w:p>
    <w:p>
      <w:r>
        <w:pict>
          <v:rect style="width:0;height:1.5pt" o:hralign="center" o:hrstd="t" o:hr="t"/>
        </w:pict>
      </w:r>
    </w:p>
    <w:bookmarkEnd w:id="44"/>
    <w:bookmarkStart w:id="45"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0.120</w:t>
            </w:r>
          </w:p>
        </w:tc>
      </w:tr>
      <w:tr>
        <w:tc>
          <w:tcPr/>
          <w:p>
            <w:pPr>
              <w:pStyle w:val="Compact"/>
            </w:pPr>
            <w:r>
              <w:t xml:space="preserve">n</w:t>
            </w:r>
          </w:p>
        </w:tc>
        <w:tc>
          <w:tcPr/>
          <w:p>
            <w:pPr>
              <w:pStyle w:val="Compact"/>
            </w:pPr>
            <w:r>
              <w:t xml:space="preserve">2,095</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5"/>
    <w:bookmarkStart w:id="46"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0.167</w:t>
            </w:r>
          </w:p>
        </w:tc>
        <w:tc>
          <w:tcPr/>
          <w:p>
            <w:pPr>
              <w:pStyle w:val="Compact"/>
            </w:pPr>
            <w:r>
              <w:t xml:space="preserve">2.28 [2.01, 2.59]</w:t>
            </w:r>
          </w:p>
        </w:tc>
        <w:tc>
          <w:tcPr/>
          <w:p>
            <w:pPr>
              <w:pStyle w:val="Compact"/>
            </w:pPr>
            <w:r>
              <w:t xml:space="preserve">0.753</w:t>
            </w:r>
          </w:p>
        </w:tc>
        <w:tc>
          <w:tcPr/>
          <w:p>
            <w:pPr>
              <w:pStyle w:val="Compact"/>
            </w:pPr>
            <w:r>
              <w:t xml:space="preserve">2,095</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p>
    <w:p>
      <w:r>
        <w:pict>
          <v:rect style="width:0;height:1.5pt" o:hralign="center" o:hrstd="t" o:hr="t"/>
        </w:pict>
      </w:r>
    </w:p>
    <w:bookmarkEnd w:id="46"/>
    <w:bookmarkStart w:id="47"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16.4%</w:t>
            </w:r>
          </w:p>
        </w:tc>
        <w:tc>
          <w:tcPr/>
          <w:p>
            <w:pPr>
              <w:pStyle w:val="Compact"/>
            </w:pPr>
            <w:r>
              <w:t xml:space="preserve">14.3%</w:t>
            </w:r>
          </w:p>
        </w:tc>
      </w:tr>
      <w:tr>
        <w:tc>
          <w:tcPr/>
          <w:p>
            <w:pPr>
              <w:pStyle w:val="Compact"/>
            </w:pPr>
            <w:r>
              <w:t xml:space="preserve">Female</w:t>
            </w:r>
          </w:p>
        </w:tc>
        <w:tc>
          <w:tcPr/>
          <w:p>
            <w:pPr>
              <w:pStyle w:val="Compact"/>
            </w:pPr>
            <w:r>
              <w:t xml:space="preserve">52.6%</w:t>
            </w:r>
          </w:p>
        </w:tc>
        <w:tc>
          <w:tcPr/>
          <w:p>
            <w:pPr>
              <w:pStyle w:val="Compact"/>
            </w:pPr>
            <w:r>
              <w:t xml:space="preserve">— (24 of 28 have no registered sex)</w:t>
            </w:r>
          </w:p>
        </w:tc>
      </w:tr>
      <w:tr>
        <w:tc>
          <w:tcPr/>
          <w:p>
            <w:pPr>
              <w:pStyle w:val="Compact"/>
            </w:pPr>
            <w:r>
              <w:t xml:space="preserve">Pre-milestone volume (mean meets)</w:t>
            </w:r>
          </w:p>
        </w:tc>
        <w:tc>
          <w:tcPr/>
          <w:p>
            <w:pPr>
              <w:pStyle w:val="Compact"/>
            </w:pPr>
            <w:r>
              <w:t xml:space="preserve">20.9</w:t>
            </w:r>
          </w:p>
        </w:tc>
        <w:tc>
          <w:tcPr/>
          <w:p>
            <w:pPr>
              <w:pStyle w:val="Compact"/>
            </w:pPr>
            <w:r>
              <w:t xml:space="preserve">18.6</w:t>
            </w:r>
          </w:p>
        </w:tc>
      </w:tr>
      <w:tr>
        <w:tc>
          <w:tcPr/>
          <w:p>
            <w:pPr>
              <w:pStyle w:val="Compact"/>
            </w:pPr>
            <w:r>
              <w:t xml:space="preserve">HHI, ages 13–14 (mean)</w:t>
            </w:r>
          </w:p>
        </w:tc>
        <w:tc>
          <w:tcPr/>
          <w:p>
            <w:pPr>
              <w:pStyle w:val="Compact"/>
            </w:pPr>
            <w:r>
              <w:t xml:space="preserve">0.46</w:t>
            </w:r>
          </w:p>
        </w:tc>
        <w:tc>
          <w:tcPr/>
          <w:p>
            <w:pPr>
              <w:pStyle w:val="Compact"/>
            </w:pPr>
            <w:r>
              <w:t xml:space="preserve">0.42</w:t>
            </w:r>
          </w:p>
        </w:tc>
      </w:tr>
    </w:tbl>
    <w:p>
      <w:pPr>
        <w:pStyle w:val="BodyText"/>
      </w:pPr>
      <w:r>
        <w:rPr>
          <w:i/>
          <w:iCs/>
        </w:rPr>
        <w:t xml:space="preserve">Note.</w:t>
      </w:r>
      <w:r>
        <w:t xml:space="preserve"> </w:t>
      </w:r>
      <w:r>
        <w:t xml:space="preserve">n = 2,095 included, 28 excluded (24 without registered sex, 4 without a baseline Tyrving score). The excluded athletes are too few to affect the estimates; multiple imputation gives identical results (Supplementary Table S21).</w:t>
      </w:r>
    </w:p>
    <w:p>
      <w:r>
        <w:pict>
          <v:rect style="width:0;height:1.5pt" o:hralign="center" o:hrstd="t" o:hr="t"/>
        </w:pict>
      </w:r>
    </w:p>
    <w:bookmarkEnd w:id="47"/>
    <w:bookmarkStart w:id="48"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variables;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variables;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Revised variables; athlete-level stratified 5-fold, 20 repeats</w:t>
            </w:r>
          </w:p>
        </w:tc>
        <w:tc>
          <w:tcPr/>
          <w:p>
            <w:pPr>
              <w:pStyle w:val="Compact"/>
            </w:pPr>
            <w:r>
              <w:t xml:space="preserve">2,095</w:t>
            </w:r>
          </w:p>
        </w:tc>
        <w:tc>
          <w:tcPr/>
          <w:p>
            <w:pPr>
              <w:pStyle w:val="Compact"/>
            </w:pPr>
            <w:r>
              <w:t xml:space="preserve">0.746 [0.716, 0.776]; repeat range 0.742–0.749</w:t>
            </w:r>
          </w:p>
        </w:tc>
        <w:tc>
          <w:tcPr/>
          <w:p>
            <w:pPr>
              <w:pStyle w:val="Compact"/>
            </w:pPr>
            <w:r>
              <w:t xml:space="preserve">0.98</w:t>
            </w:r>
          </w:p>
        </w:tc>
        <w:tc>
          <w:tcPr/>
          <w:p>
            <w:pPr>
              <w:pStyle w:val="Compact"/>
            </w:pPr>
            <w:r>
              <w:t xml:space="preserve">0.00</w:t>
            </w:r>
          </w:p>
        </w:tc>
        <w:tc>
          <w:tcPr/>
          <w:p>
            <w:pPr>
              <w:pStyle w:val="Compact"/>
            </w:pPr>
            <w:r>
              <w:t xml:space="preserve">0.120</w:t>
            </w:r>
          </w:p>
        </w:tc>
      </w:tr>
      <w:tr>
        <w:tc>
          <w:tcPr/>
          <w:p>
            <w:pPr>
              <w:pStyle w:val="Compact"/>
            </w:pPr>
            <w:r>
              <w:t xml:space="preserve">Revised variables; club-grouped stratified 5-fold, 20 repeats</w:t>
            </w:r>
          </w:p>
        </w:tc>
        <w:tc>
          <w:tcPr/>
          <w:p>
            <w:pPr>
              <w:pStyle w:val="Compact"/>
            </w:pPr>
            <w:r>
              <w:t xml:space="preserve">2,095</w:t>
            </w:r>
          </w:p>
        </w:tc>
        <w:tc>
          <w:tcPr/>
          <w:p>
            <w:pPr>
              <w:pStyle w:val="Compact"/>
            </w:pPr>
            <w:r>
              <w:t xml:space="preserve">0.746 [0.709, 0.783]; repeat range 0.743–0.750</w:t>
            </w:r>
          </w:p>
        </w:tc>
        <w:tc>
          <w:tcPr/>
          <w:p>
            <w:pPr>
              <w:pStyle w:val="Compact"/>
            </w:pPr>
            <w:r>
              <w:t xml:space="preserve">0.96</w:t>
            </w:r>
          </w:p>
        </w:tc>
        <w:tc>
          <w:tcPr/>
          <w:p>
            <w:pPr>
              <w:pStyle w:val="Compact"/>
            </w:pPr>
            <w:r>
              <w:t xml:space="preserve">0.00</w:t>
            </w:r>
          </w:p>
        </w:tc>
        <w:tc>
          <w:tcPr/>
          <w:p>
            <w:pPr>
              <w:pStyle w:val="Compact"/>
            </w:pPr>
            <w:r>
              <w:t xml:space="preserve">0.120</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revised variables (HHI from ages 13–14; complete Tyrving scoring) with 20 repeats; club-grouped folds keep every baseline club (287 clubs; largest 60 athletes) entirely in either the training or the validation fold.</w:t>
      </w:r>
    </w:p>
    <w:p>
      <w:r>
        <w:pict>
          <v:rect style="width:0;height:1.5pt" o:hralign="center" o:hrstd="t" o:hr="t"/>
        </w:pict>
      </w:r>
    </w:p>
    <w:bookmarkEnd w:id="48"/>
    <w:bookmarkStart w:id="49"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2,095</w:t>
            </w:r>
          </w:p>
        </w:tc>
        <w:tc>
          <w:tcPr/>
          <w:p>
            <w:pPr>
              <w:pStyle w:val="Compact"/>
            </w:pPr>
            <w:r>
              <w:t xml:space="preserve">0.535</w:t>
            </w:r>
          </w:p>
        </w:tc>
        <w:tc>
          <w:tcPr/>
          <w:p>
            <w:pPr>
              <w:pStyle w:val="Compact"/>
            </w:pPr>
            <w:r>
              <w:t xml:space="preserve">0.641</w:t>
            </w:r>
          </w:p>
        </w:tc>
        <w:tc>
          <w:tcPr/>
          <w:p>
            <w:pPr>
              <w:pStyle w:val="Compact"/>
            </w:pPr>
            <w:r>
              <w:t xml:space="preserve">+0.106</w:t>
            </w:r>
          </w:p>
        </w:tc>
        <w:tc>
          <w:tcPr/>
          <w:p>
            <w:pPr>
              <w:pStyle w:val="Compact"/>
            </w:pPr>
            <w:r>
              <w:t xml:space="preserve">[+0.072, +0.140]</w:t>
            </w:r>
          </w:p>
        </w:tc>
        <w:tc>
          <w:tcPr/>
          <w:p>
            <w:pPr>
              <w:pStyle w:val="Compact"/>
            </w:pPr>
            <w:r>
              <w:t xml:space="preserve">&lt; .001</w:t>
            </w:r>
          </w:p>
        </w:tc>
      </w:tr>
      <w:tr>
        <w:tc>
          <w:tcPr/>
          <w:p>
            <w:pPr>
              <w:pStyle w:val="Compact"/>
            </w:pPr>
            <w:r>
              <w:t xml:space="preserve">+ HHI vs. sex + Tyrving</w:t>
            </w:r>
          </w:p>
        </w:tc>
        <w:tc>
          <w:tcPr/>
          <w:p>
            <w:pPr>
              <w:pStyle w:val="Compact"/>
            </w:pPr>
            <w:r>
              <w:t xml:space="preserve">2,095</w:t>
            </w:r>
          </w:p>
        </w:tc>
        <w:tc>
          <w:tcPr/>
          <w:p>
            <w:pPr>
              <w:pStyle w:val="Compact"/>
            </w:pPr>
            <w:r>
              <w:t xml:space="preserve">0.641</w:t>
            </w:r>
          </w:p>
        </w:tc>
        <w:tc>
          <w:tcPr/>
          <w:p>
            <w:pPr>
              <w:pStyle w:val="Compact"/>
            </w:pPr>
            <w:r>
              <w:t xml:space="preserve">0.636</w:t>
            </w:r>
          </w:p>
        </w:tc>
        <w:tc>
          <w:tcPr/>
          <w:p>
            <w:pPr>
              <w:pStyle w:val="Compact"/>
            </w:pPr>
            <w:r>
              <w:t xml:space="preserve">−0.005</w:t>
            </w:r>
          </w:p>
        </w:tc>
        <w:tc>
          <w:tcPr/>
          <w:p>
            <w:pPr>
              <w:pStyle w:val="Compact"/>
            </w:pPr>
            <w:r>
              <w:t xml:space="preserve">[−0.017, +0.008]</w:t>
            </w:r>
          </w:p>
        </w:tc>
        <w:tc>
          <w:tcPr/>
          <w:p>
            <w:pPr>
              <w:pStyle w:val="Compact"/>
            </w:pPr>
            <w:r>
              <w:t xml:space="preserve">.471</w:t>
            </w:r>
          </w:p>
        </w:tc>
      </w:tr>
      <w:tr>
        <w:tc>
          <w:tcPr/>
          <w:p>
            <w:pPr>
              <w:pStyle w:val="Compact"/>
            </w:pPr>
            <w:r>
              <w:t xml:space="preserve">+ volume vs. sex + Tyrving + HHI (L4 vs. L3)</w:t>
            </w:r>
          </w:p>
        </w:tc>
        <w:tc>
          <w:tcPr/>
          <w:p>
            <w:pPr>
              <w:pStyle w:val="Compact"/>
            </w:pPr>
            <w:r>
              <w:t xml:space="preserve">2,095</w:t>
            </w:r>
          </w:p>
        </w:tc>
        <w:tc>
          <w:tcPr/>
          <w:p>
            <w:pPr>
              <w:pStyle w:val="Compact"/>
            </w:pPr>
            <w:r>
              <w:t xml:space="preserve">0.636</w:t>
            </w:r>
          </w:p>
        </w:tc>
        <w:tc>
          <w:tcPr/>
          <w:p>
            <w:pPr>
              <w:pStyle w:val="Compact"/>
            </w:pPr>
            <w:r>
              <w:t xml:space="preserve">0.746</w:t>
            </w:r>
          </w:p>
        </w:tc>
        <w:tc>
          <w:tcPr/>
          <w:p>
            <w:pPr>
              <w:pStyle w:val="Compact"/>
            </w:pPr>
            <w:r>
              <w:t xml:space="preserve">+0.110</w:t>
            </w:r>
          </w:p>
        </w:tc>
        <w:tc>
          <w:tcPr/>
          <w:p>
            <w:pPr>
              <w:pStyle w:val="Compact"/>
            </w:pPr>
            <w:r>
              <w:t xml:space="preserve">[+0.081, +0.140]</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2,095</w:t>
            </w:r>
          </w:p>
        </w:tc>
        <w:tc>
          <w:tcPr/>
          <w:p>
            <w:pPr>
              <w:pStyle w:val="Compact"/>
            </w:pPr>
            <w:r>
              <w:t xml:space="preserve">0.641</w:t>
            </w:r>
          </w:p>
        </w:tc>
        <w:tc>
          <w:tcPr/>
          <w:p>
            <w:pPr>
              <w:pStyle w:val="Compact"/>
            </w:pPr>
            <w:r>
              <w:t xml:space="preserve">0.739</w:t>
            </w:r>
          </w:p>
        </w:tc>
        <w:tc>
          <w:tcPr/>
          <w:p>
            <w:pPr>
              <w:pStyle w:val="Compact"/>
            </w:pPr>
            <w:r>
              <w:t xml:space="preserve">+0.098</w:t>
            </w:r>
          </w:p>
        </w:tc>
        <w:tc>
          <w:tcPr/>
          <w:p>
            <w:pPr>
              <w:pStyle w:val="Compact"/>
            </w:pPr>
            <w:r>
              <w:t xml:space="preserve">[+0.063, +0.133]</w:t>
            </w:r>
          </w:p>
        </w:tc>
        <w:tc>
          <w:tcPr/>
          <w:p>
            <w:pPr>
              <w:pStyle w:val="Compact"/>
            </w:pPr>
            <w:r>
              <w:t xml:space="preserve">&lt; .001</w:t>
            </w:r>
          </w:p>
        </w:tc>
      </w:tr>
      <w:tr>
        <w:tc>
          <w:tcPr/>
          <w:p>
            <w:pPr>
              <w:pStyle w:val="Compact"/>
            </w:pPr>
            <w:r>
              <w:t xml:space="preserve">Sex + Tyrving + volume vs. sex + volume</w:t>
            </w:r>
          </w:p>
        </w:tc>
        <w:tc>
          <w:tcPr/>
          <w:p>
            <w:pPr>
              <w:pStyle w:val="Compact"/>
            </w:pPr>
            <w:r>
              <w:t xml:space="preserve">2,095</w:t>
            </w:r>
          </w:p>
        </w:tc>
        <w:tc>
          <w:tcPr/>
          <w:p>
            <w:pPr>
              <w:pStyle w:val="Compact"/>
            </w:pPr>
            <w:r>
              <w:t xml:space="preserve">0.739</w:t>
            </w:r>
          </w:p>
        </w:tc>
        <w:tc>
          <w:tcPr/>
          <w:p>
            <w:pPr>
              <w:pStyle w:val="Compact"/>
            </w:pPr>
            <w:r>
              <w:t xml:space="preserve">0.737</w:t>
            </w:r>
          </w:p>
        </w:tc>
        <w:tc>
          <w:tcPr/>
          <w:p>
            <w:pPr>
              <w:pStyle w:val="Compact"/>
            </w:pPr>
            <w:r>
              <w:t xml:space="preserve">−0.002</w:t>
            </w:r>
          </w:p>
        </w:tc>
        <w:tc>
          <w:tcPr/>
          <w:p>
            <w:pPr>
              <w:pStyle w:val="Compact"/>
            </w:pPr>
            <w:r>
              <w:t xml:space="preserve">[−0.011, +0.007]</w:t>
            </w:r>
          </w:p>
        </w:tc>
        <w:tc>
          <w:tcPr/>
          <w:p>
            <w:pPr>
              <w:pStyle w:val="Compact"/>
            </w:pPr>
            <w:r>
              <w:t xml:space="preserve">.636</w:t>
            </w:r>
          </w:p>
        </w:tc>
      </w:tr>
      <w:tr>
        <w:tc>
          <w:tcPr/>
          <w:p>
            <w:pPr>
              <w:pStyle w:val="Compact"/>
            </w:pPr>
            <w:r>
              <w:t xml:space="preserve">Full L4 vs. sex + volume</w:t>
            </w:r>
          </w:p>
        </w:tc>
        <w:tc>
          <w:tcPr/>
          <w:p>
            <w:pPr>
              <w:pStyle w:val="Compact"/>
            </w:pPr>
            <w:r>
              <w:t xml:space="preserve">2,095</w:t>
            </w:r>
          </w:p>
        </w:tc>
        <w:tc>
          <w:tcPr/>
          <w:p>
            <w:pPr>
              <w:pStyle w:val="Compact"/>
            </w:pPr>
            <w:r>
              <w:t xml:space="preserve">0.739</w:t>
            </w:r>
          </w:p>
        </w:tc>
        <w:tc>
          <w:tcPr/>
          <w:p>
            <w:pPr>
              <w:pStyle w:val="Compact"/>
            </w:pPr>
            <w:r>
              <w:t xml:space="preserve">0.746</w:t>
            </w:r>
          </w:p>
        </w:tc>
        <w:tc>
          <w:tcPr/>
          <w:p>
            <w:pPr>
              <w:pStyle w:val="Compact"/>
            </w:pPr>
            <w:r>
              <w:t xml:space="preserve">+0.008</w:t>
            </w:r>
          </w:p>
        </w:tc>
        <w:tc>
          <w:tcPr/>
          <w:p>
            <w:pPr>
              <w:pStyle w:val="Compact"/>
            </w:pPr>
            <w:r>
              <w:t xml:space="preserve">[−0.006, +0.022]</w:t>
            </w:r>
          </w:p>
        </w:tc>
        <w:tc>
          <w:tcPr/>
          <w:p>
            <w:pPr>
              <w:pStyle w:val="Compact"/>
            </w:pPr>
            <w:r>
              <w:t xml:space="preserve">.281</w:t>
            </w:r>
          </w:p>
        </w:tc>
      </w:tr>
      <w:tr>
        <w:tc>
          <w:tcPr/>
          <w:p>
            <w:pPr>
              <w:pStyle w:val="Compact"/>
            </w:pPr>
            <w:r>
              <w:t xml:space="preserve">Sex + volume vs. sex + Tyrving + Tyrving change 13–14</w:t>
            </w:r>
          </w:p>
        </w:tc>
        <w:tc>
          <w:tcPr/>
          <w:p>
            <w:pPr>
              <w:pStyle w:val="Compact"/>
            </w:pPr>
            <w:r>
              <w:t xml:space="preserve">1,692</w:t>
            </w:r>
          </w:p>
        </w:tc>
        <w:tc>
          <w:tcPr/>
          <w:p>
            <w:pPr>
              <w:pStyle w:val="Compact"/>
            </w:pPr>
            <w:r>
              <w:t xml:space="preserve">0.701</w:t>
            </w:r>
          </w:p>
        </w:tc>
        <w:tc>
          <w:tcPr/>
          <w:p>
            <w:pPr>
              <w:pStyle w:val="Compact"/>
            </w:pPr>
            <w:r>
              <w:t xml:space="preserve">0.734</w:t>
            </w:r>
          </w:p>
        </w:tc>
        <w:tc>
          <w:tcPr/>
          <w:p>
            <w:pPr>
              <w:pStyle w:val="Compact"/>
            </w:pPr>
            <w:r>
              <w:t xml:space="preserve">+0.033</w:t>
            </w:r>
          </w:p>
        </w:tc>
        <w:tc>
          <w:tcPr/>
          <w:p>
            <w:pPr>
              <w:pStyle w:val="Compact"/>
            </w:pPr>
            <w:r>
              <w:t xml:space="preserve">[−0.003, +0.069]</w:t>
            </w:r>
          </w:p>
        </w:tc>
        <w:tc>
          <w:tcPr/>
          <w:p>
            <w:pPr>
              <w:pStyle w:val="Compact"/>
            </w:pPr>
            <w:r>
              <w:t xml:space="preserve">.070</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49"/>
    <w:bookmarkStart w:id="50"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[−0.137, −0.002]</w:t>
            </w:r>
          </w:p>
        </w:tc>
        <w:tc>
          <w:tcPr/>
          <w:p>
            <w:pPr>
              <w:pStyle w:val="Compact"/>
            </w:pPr>
            <w:r>
              <w:t xml:space="preserve">−7%</w:t>
            </w:r>
          </w:p>
        </w:tc>
        <w:tc>
          <w:tcPr/>
          <w:p>
            <w:pPr>
              <w:pStyle w:val="Compact"/>
            </w:pPr>
            <w:r>
              <w:t xml:space="preserve">.045</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T−2</w:t>
            </w:r>
          </w:p>
        </w:tc>
        <w:tc>
          <w:tcPr/>
          <w:p>
            <w:pPr>
              <w:pStyle w:val="Compact"/>
            </w:pPr>
            <w:r>
              <w:t xml:space="preserve">−0.131</w:t>
            </w:r>
          </w:p>
        </w:tc>
        <w:tc>
          <w:tcPr/>
          <w:p>
            <w:pPr>
              <w:pStyle w:val="Compact"/>
            </w:pPr>
            <w:r>
              <w:t xml:space="preserve">[−0.213, −0.049]</w:t>
            </w:r>
          </w:p>
        </w:tc>
        <w:tc>
          <w:tcPr/>
          <w:p>
            <w:pPr>
              <w:pStyle w:val="Compact"/>
            </w:pPr>
            <w:r>
              <w:t xml:space="preserve">−12%</w:t>
            </w:r>
          </w:p>
        </w:tc>
        <w:tc>
          <w:tcPr/>
          <w:p>
            <w:pPr>
              <w:pStyle w:val="Compact"/>
            </w:pPr>
            <w:r>
              <w:t xml:space="preserve">.002</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T−1</w:t>
            </w:r>
          </w:p>
        </w:tc>
        <w:tc>
          <w:tcPr/>
          <w:p>
            <w:pPr>
              <w:pStyle w:val="Compact"/>
            </w:pPr>
            <w:r>
              <w:t xml:space="preserve">−0.271</w:t>
            </w:r>
          </w:p>
        </w:tc>
        <w:tc>
          <w:tcPr/>
          <w:p>
            <w:pPr>
              <w:pStyle w:val="Compact"/>
            </w:pPr>
            <w:r>
              <w:t xml:space="preserve">[−0.370, −0.173]</w:t>
            </w:r>
          </w:p>
        </w:tc>
        <w:tc>
          <w:tcPr/>
          <w:p>
            <w:pPr>
              <w:pStyle w:val="Compact"/>
            </w:pPr>
            <w:r>
              <w:t xml:space="preserve">−24%</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w:t>
            </w:r>
          </w:p>
        </w:tc>
        <w:tc>
          <w:tcPr/>
          <w:p>
            <w:pPr>
              <w:pStyle w:val="Compact"/>
            </w:pPr>
            <w:r>
              <w:t xml:space="preserve">−0.646</w:t>
            </w:r>
          </w:p>
        </w:tc>
        <w:tc>
          <w:tcPr/>
          <w:p>
            <w:pPr>
              <w:pStyle w:val="Compact"/>
            </w:pPr>
            <w:r>
              <w:t xml:space="preserve">[−0.756, −0.535]</w:t>
            </w:r>
          </w:p>
        </w:tc>
        <w:tc>
          <w:tcPr/>
          <w:p>
            <w:pPr>
              <w:pStyle w:val="Compact"/>
            </w:pPr>
            <w:r>
              <w:t xml:space="preserve">−48%</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T−3</w:t>
            </w:r>
          </w:p>
        </w:tc>
        <w:tc>
          <w:tcPr/>
          <w:p>
            <w:pPr>
              <w:pStyle w:val="Compact"/>
            </w:pPr>
            <w:r>
              <w:t xml:space="preserve">−0.396</w:t>
            </w:r>
          </w:p>
        </w:tc>
        <w:tc>
          <w:tcPr/>
          <w:p>
            <w:pPr>
              <w:pStyle w:val="Compact"/>
            </w:pPr>
            <w:r>
              <w:t xml:space="preserve">[−1.065, 0.274]</w:t>
            </w:r>
          </w:p>
        </w:tc>
        <w:tc>
          <w:tcPr/>
          <w:p>
            <w:pPr>
              <w:pStyle w:val="Compact"/>
            </w:pPr>
            <w:r>
              <w:t xml:space="preserve">−0.4 meets</w:t>
            </w:r>
          </w:p>
        </w:tc>
        <w:tc>
          <w:tcPr/>
          <w:p>
            <w:pPr>
              <w:pStyle w:val="Compact"/>
            </w:pPr>
            <w:r>
              <w:t xml:space="preserve">.247</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T−2</w:t>
            </w:r>
          </w:p>
        </w:tc>
        <w:tc>
          <w:tcPr/>
          <w:p>
            <w:pPr>
              <w:pStyle w:val="Compact"/>
            </w:pPr>
            <w:r>
              <w:t xml:space="preserve">−1.087</w:t>
            </w:r>
          </w:p>
        </w:tc>
        <w:tc>
          <w:tcPr/>
          <w:p>
            <w:pPr>
              <w:pStyle w:val="Compact"/>
            </w:pPr>
            <w:r>
              <w:t xml:space="preserve">[−1.940, −0.233]</w:t>
            </w:r>
          </w:p>
        </w:tc>
        <w:tc>
          <w:tcPr/>
          <w:p>
            <w:pPr>
              <w:pStyle w:val="Compact"/>
            </w:pPr>
            <w:r>
              <w:t xml:space="preserve">−1.1 meets</w:t>
            </w:r>
          </w:p>
        </w:tc>
        <w:tc>
          <w:tcPr/>
          <w:p>
            <w:pPr>
              <w:pStyle w:val="Compact"/>
            </w:pPr>
            <w:r>
              <w:t xml:space="preserve">.013</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T−1</w:t>
            </w:r>
          </w:p>
        </w:tc>
        <w:tc>
          <w:tcPr/>
          <w:p>
            <w:pPr>
              <w:pStyle w:val="Compact"/>
            </w:pPr>
            <w:r>
              <w:t xml:space="preserve">−2.700</w:t>
            </w:r>
          </w:p>
        </w:tc>
        <w:tc>
          <w:tcPr/>
          <w:p>
            <w:pPr>
              <w:pStyle w:val="Compact"/>
            </w:pPr>
            <w:r>
              <w:t xml:space="preserve">[−3.747, −1.654]</w:t>
            </w:r>
          </w:p>
        </w:tc>
        <w:tc>
          <w:tcPr/>
          <w:p>
            <w:pPr>
              <w:pStyle w:val="Compact"/>
            </w:pPr>
            <w:r>
              <w:t xml:space="preserve">−2.7 meets</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w:t>
            </w:r>
          </w:p>
        </w:tc>
        <w:tc>
          <w:tcPr/>
          <w:p>
            <w:pPr>
              <w:pStyle w:val="Compact"/>
            </w:pPr>
            <w:r>
              <w:t xml:space="preserve">−6.440</w:t>
            </w:r>
          </w:p>
        </w:tc>
        <w:tc>
          <w:tcPr/>
          <w:p>
            <w:pPr>
              <w:pStyle w:val="Compact"/>
            </w:pPr>
            <w:r>
              <w:t xml:space="preserve">[−7.662, −5.217]</w:t>
            </w:r>
          </w:p>
        </w:tc>
        <w:tc>
          <w:tcPr/>
          <w:p>
            <w:pPr>
              <w:pStyle w:val="Compact"/>
            </w:pPr>
            <w:r>
              <w:t xml:space="preserve">−6.4 meets</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0.037]</w:t>
            </w:r>
          </w:p>
        </w:tc>
        <w:tc>
          <w:tcPr/>
          <w:p>
            <w:pPr>
              <w:pStyle w:val="Compact"/>
            </w:pPr>
            <w:r>
              <w:t xml:space="preserve">−4%</w:t>
            </w:r>
          </w:p>
        </w:tc>
        <w:tc>
          <w:tcPr/>
          <w:p>
            <w:pPr>
              <w:pStyle w:val="Compact"/>
            </w:pPr>
            <w:r>
              <w:t xml:space="preserve">.314</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−0.093</w:t>
            </w:r>
          </w:p>
        </w:tc>
        <w:tc>
          <w:tcPr/>
          <w:p>
            <w:pPr>
              <w:pStyle w:val="Compact"/>
            </w:pPr>
            <w:r>
              <w:t xml:space="preserve">[−0.194, 0.007]</w:t>
            </w:r>
          </w:p>
        </w:tc>
        <w:tc>
          <w:tcPr/>
          <w:p>
            <w:pPr>
              <w:pStyle w:val="Compact"/>
            </w:pPr>
            <w:r>
              <w:t xml:space="preserve">−9%</w:t>
            </w:r>
          </w:p>
        </w:tc>
        <w:tc>
          <w:tcPr/>
          <w:p>
            <w:pPr>
              <w:pStyle w:val="Compact"/>
            </w:pPr>
            <w:r>
              <w:t xml:space="preserve">.070</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−0.308</w:t>
            </w:r>
          </w:p>
        </w:tc>
        <w:tc>
          <w:tcPr/>
          <w:p>
            <w:pPr>
              <w:pStyle w:val="Compact"/>
            </w:pPr>
            <w:r>
              <w:t xml:space="preserve">[−0.432, −0.183]</w:t>
            </w:r>
          </w:p>
        </w:tc>
        <w:tc>
          <w:tcPr/>
          <w:p>
            <w:pPr>
              <w:pStyle w:val="Compact"/>
            </w:pPr>
            <w:r>
              <w:t xml:space="preserve">−26%</w:t>
            </w:r>
          </w:p>
        </w:tc>
        <w:tc>
          <w:tcPr/>
          <w:p>
            <w:pPr>
              <w:pStyle w:val="Compact"/>
            </w:pPr>
            <w:r>
              <w:t xml:space="preserve">&lt; .001</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−0.603</w:t>
            </w:r>
          </w:p>
        </w:tc>
        <w:tc>
          <w:tcPr/>
          <w:p>
            <w:pPr>
              <w:pStyle w:val="Compact"/>
            </w:pPr>
            <w:r>
              <w:t xml:space="preserve">[−0.733, −0.472]</w:t>
            </w:r>
          </w:p>
        </w:tc>
        <w:tc>
          <w:tcPr/>
          <w:p>
            <w:pPr>
              <w:pStyle w:val="Compact"/>
            </w:pPr>
            <w:r>
              <w:t xml:space="preserve">−45%</w:t>
            </w:r>
          </w:p>
        </w:tc>
        <w:tc>
          <w:tcPr/>
          <w:p>
            <w:pPr>
              <w:pStyle w:val="Compact"/>
            </w:pPr>
            <w:r>
              <w:t xml:space="preserve">&lt; .001</w:t>
            </w:r>
          </w:p>
        </w:tc>
        <w:tc>
          <w:tcPr/>
          <w:p>
            <w:pPr>
              <w:pStyle w:val="Compact"/>
            </w:pPr>
            <w:r>
              <w:t xml:space="preserve">692</w:t>
            </w:r>
          </w:p>
        </w:tc>
        <w:tc>
          <w:tcPr/>
          <w:p>
            <w:pPr>
              <w:pStyle w:val="Compact"/>
            </w:pPr>
            <w:r>
              <w:t xml:space="preserve">4,239</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0"/>
    <w:bookmarkStart w:id="51"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1,301</w:t>
            </w:r>
          </w:p>
        </w:tc>
        <w:tc>
          <w:tcPr/>
          <w:p>
            <w:pPr>
              <w:pStyle w:val="Compact"/>
            </w:pPr>
            <w:r>
              <w:t xml:space="preserve">27.4</w:t>
            </w:r>
          </w:p>
        </w:tc>
        <w:tc>
          <w:tcPr/>
          <w:p>
            <w:pPr>
              <w:pStyle w:val="Compact"/>
            </w:pPr>
            <w:r>
              <w:t xml:space="preserve">0.31 [0.28, 0.33]</w:t>
            </w:r>
          </w:p>
        </w:tc>
        <w:tc>
          <w:tcPr/>
          <w:p>
            <w:pPr>
              <w:pStyle w:val="Compact"/>
            </w:pPr>
            <w:r>
              <w:t xml:space="preserve">0.89 [0.85, 0.93]</w:t>
            </w:r>
          </w:p>
        </w:tc>
        <w:tc>
          <w:tcPr/>
          <w:p>
            <w:pPr>
              <w:pStyle w:val="Compact"/>
            </w:pPr>
            <w:r>
              <w:t xml:space="preserve">0.94 [0.91, 0.96]</w:t>
            </w:r>
          </w:p>
        </w:tc>
        <w:tc>
          <w:tcPr/>
          <w:p>
            <w:pPr>
              <w:pStyle w:val="Compact"/>
            </w:pPr>
            <w:r>
              <w:t xml:space="preserve">6.2% [3.8, 8.8]</w:t>
            </w:r>
          </w:p>
        </w:tc>
        <w:tc>
          <w:tcPr/>
          <w:p>
            <w:pPr>
              <w:pStyle w:val="Compact"/>
            </w:pPr>
            <w:r>
              <w:t xml:space="preserve">19.5% [17.0, 22.0]</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822</w:t>
            </w:r>
          </w:p>
        </w:tc>
        <w:tc>
          <w:tcPr/>
          <w:p>
            <w:pPr>
              <w:pStyle w:val="Compact"/>
            </w:pPr>
            <w:r>
              <w:t xml:space="preserve">24.8</w:t>
            </w:r>
          </w:p>
        </w:tc>
        <w:tc>
          <w:tcPr/>
          <w:p>
            <w:pPr>
              <w:pStyle w:val="Compact"/>
            </w:pPr>
            <w:r>
              <w:t xml:space="preserve">0.29 [0.25, 0.32]</w:t>
            </w:r>
          </w:p>
        </w:tc>
        <w:tc>
          <w:tcPr/>
          <w:p>
            <w:pPr>
              <w:pStyle w:val="Compact"/>
            </w:pPr>
            <w:r>
              <w:t xml:space="preserve">0.93 [0.88, 0.97]</w:t>
            </w:r>
          </w:p>
        </w:tc>
        <w:tc>
          <w:tcPr/>
          <w:p>
            <w:pPr>
              <w:pStyle w:val="Compact"/>
            </w:pPr>
            <w:r>
              <w:t xml:space="preserve">0.95 [0.92, 0.98]</w:t>
            </w:r>
          </w:p>
        </w:tc>
        <w:tc>
          <w:tcPr/>
          <w:p>
            <w:pPr>
              <w:pStyle w:val="Compact"/>
            </w:pPr>
            <w:r>
              <w:t xml:space="preserve">4.9% [2.2, 8.1]</w:t>
            </w:r>
          </w:p>
        </w:tc>
        <w:tc>
          <w:tcPr/>
          <w:p>
            <w:pPr>
              <w:pStyle w:val="Compact"/>
            </w:pPr>
            <w:r>
              <w:t xml:space="preserve">21.4% [18.4, 24.6]</w:t>
            </w:r>
          </w:p>
        </w:tc>
      </w:tr>
      <w:tr>
        <w:tc>
          <w:tcPr/>
          <w:p>
            <w:pPr>
              <w:pStyle w:val="Compact"/>
            </w:pPr>
            <w:r>
              <w:t xml:space="preserve">Lowest-quartile rule derived in Cohort B</w:t>
            </w:r>
          </w:p>
        </w:tc>
        <w:tc>
          <w:tcPr/>
          <w:p>
            <w:pPr>
              <w:pStyle w:val="Compact"/>
            </w:pPr>
            <w:r>
              <w:t xml:space="preserve">&lt; 11</w:t>
            </w:r>
          </w:p>
        </w:tc>
        <w:tc>
          <w:tcPr/>
          <w:p>
            <w:pPr>
              <w:pStyle w:val="Compact"/>
            </w:pPr>
            <w:r>
              <w:t xml:space="preserve">822</w:t>
            </w:r>
          </w:p>
        </w:tc>
        <w:tc>
          <w:tcPr/>
          <w:p>
            <w:pPr>
              <w:pStyle w:val="Compact"/>
            </w:pPr>
            <w:r>
              <w:t xml:space="preserve">27.0</w:t>
            </w:r>
          </w:p>
        </w:tc>
        <w:tc>
          <w:tcPr/>
          <w:p>
            <w:pPr>
              <w:pStyle w:val="Compact"/>
            </w:pPr>
            <w:r>
              <w:t xml:space="preserve">0.31 [0.27, 0.34]</w:t>
            </w:r>
          </w:p>
        </w:tc>
        <w:tc>
          <w:tcPr/>
          <w:p>
            <w:pPr>
              <w:pStyle w:val="Compact"/>
            </w:pPr>
            <w:r>
              <w:t xml:space="preserve">0.91 [0.86, 0.95]</w:t>
            </w:r>
          </w:p>
        </w:tc>
        <w:tc>
          <w:tcPr/>
          <w:p>
            <w:pPr>
              <w:pStyle w:val="Compact"/>
            </w:pPr>
            <w:r>
              <w:t xml:space="preserve">0.94 [0.91, 0.97]</w:t>
            </w:r>
          </w:p>
        </w:tc>
        <w:tc>
          <w:tcPr/>
          <w:p>
            <w:pPr>
              <w:pStyle w:val="Compact"/>
            </w:pPr>
            <w:r>
              <w:t xml:space="preserve">5.9% [2.9, 9.1]</w:t>
            </w:r>
          </w:p>
        </w:tc>
        <w:tc>
          <w:tcPr/>
          <w:p>
            <w:pPr>
              <w:pStyle w:val="Compact"/>
            </w:pPr>
            <w:r>
              <w:t xml:space="preserve">21.5% [18.2, 24.8]</w:t>
            </w:r>
          </w:p>
        </w:tc>
      </w:tr>
      <w:tr>
        <w:tc>
          <w:tcPr/>
          <w:p>
            <w:pPr>
              <w:pStyle w:val="Compact"/>
            </w:pPr>
            <w:r>
              <w:t xml:space="preserve">Cohort-B lowest-quartile cut-off applied to Cohort A (validation)</w:t>
            </w:r>
          </w:p>
        </w:tc>
        <w:tc>
          <w:tcPr/>
          <w:p>
            <w:pPr>
              <w:pStyle w:val="Compact"/>
            </w:pPr>
            <w:r>
              <w:t xml:space="preserve">&lt; 11</w:t>
            </w:r>
          </w:p>
        </w:tc>
        <w:tc>
          <w:tcPr/>
          <w:p>
            <w:pPr>
              <w:pStyle w:val="Compact"/>
            </w:pPr>
            <w:r>
              <w:t xml:space="preserve">1,301</w:t>
            </w:r>
          </w:p>
        </w:tc>
        <w:tc>
          <w:tcPr/>
          <w:p>
            <w:pPr>
              <w:pStyle w:val="Compact"/>
            </w:pPr>
            <w:r>
              <w:t xml:space="preserve">31.7</w:t>
            </w:r>
          </w:p>
        </w:tc>
        <w:tc>
          <w:tcPr/>
          <w:p>
            <w:pPr>
              <w:pStyle w:val="Compact"/>
            </w:pPr>
            <w:r>
              <w:t xml:space="preserve">0.35 [0.33, 0.38]</w:t>
            </w:r>
          </w:p>
        </w:tc>
        <w:tc>
          <w:tcPr/>
          <w:p>
            <w:pPr>
              <w:pStyle w:val="Compact"/>
            </w:pPr>
            <w:r>
              <w:t xml:space="preserve">0.88 [0.83, 0.92]</w:t>
            </w:r>
          </w:p>
        </w:tc>
        <w:tc>
          <w:tcPr/>
          <w:p>
            <w:pPr>
              <w:pStyle w:val="Compact"/>
            </w:pPr>
            <w:r>
              <w:t xml:space="preserve">0.94 [0.92, 0.96]</w:t>
            </w:r>
          </w:p>
        </w:tc>
        <w:tc>
          <w:tcPr/>
          <w:p>
            <w:pPr>
              <w:pStyle w:val="Compact"/>
            </w:pPr>
            <w:r>
              <w:t xml:space="preserve">6.1% [3.9, 8.5]</w:t>
            </w:r>
          </w:p>
        </w:tc>
        <w:tc>
          <w:tcPr/>
          <w:p>
            <w:pPr>
              <w:pStyle w:val="Compact"/>
            </w:pPr>
            <w:r>
              <w:t xml:space="preserve">20.4% [17.7, 23.1]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1,301</w:t>
            </w:r>
          </w:p>
        </w:tc>
        <w:tc>
          <w:tcPr/>
          <w:p>
            <w:pPr>
              <w:pStyle w:val="Compact"/>
            </w:pPr>
            <w:r>
              <w:t xml:space="preserve">61.3</w:t>
            </w:r>
          </w:p>
        </w:tc>
        <w:tc>
          <w:tcPr/>
          <w:p>
            <w:pPr>
              <w:pStyle w:val="Compact"/>
            </w:pPr>
            <w:r>
              <w:t xml:space="preserve">0.67 [0.64, 0.70]</w:t>
            </w:r>
          </w:p>
        </w:tc>
        <w:tc>
          <w:tcPr/>
          <w:p>
            <w:pPr>
              <w:pStyle w:val="Compact"/>
            </w:pPr>
            <w:r>
              <w:t xml:space="preserve">0.70 [0.64, 0.76]</w:t>
            </w:r>
          </w:p>
        </w:tc>
        <w:tc>
          <w:tcPr/>
          <w:p>
            <w:pPr>
              <w:pStyle w:val="Compact"/>
            </w:pPr>
            <w:r>
              <w:t xml:space="preserve">0.92 [0.90, 0.94]</w:t>
            </w:r>
          </w:p>
        </w:tc>
        <w:tc>
          <w:tcPr/>
          <w:p>
            <w:pPr>
              <w:pStyle w:val="Compact"/>
            </w:pPr>
            <w:r>
              <w:t xml:space="preserve">7.7% [5.9, 9.6]</w:t>
            </w:r>
          </w:p>
        </w:tc>
        <w:tc>
          <w:tcPr/>
          <w:p>
            <w:pPr>
              <w:pStyle w:val="Compact"/>
            </w:pPr>
            <w:r>
              <w:t xml:space="preserve">28.8% [25.0, 32.7]</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822</w:t>
            </w:r>
          </w:p>
        </w:tc>
        <w:tc>
          <w:tcPr/>
          <w:p>
            <w:pPr>
              <w:pStyle w:val="Compact"/>
            </w:pPr>
            <w:r>
              <w:t xml:space="preserve">53.6</w:t>
            </w:r>
          </w:p>
        </w:tc>
        <w:tc>
          <w:tcPr/>
          <w:p>
            <w:pPr>
              <w:pStyle w:val="Compact"/>
            </w:pPr>
            <w:r>
              <w:t xml:space="preserve">0.59 [0.55, 0.63]</w:t>
            </w:r>
          </w:p>
        </w:tc>
        <w:tc>
          <w:tcPr/>
          <w:p>
            <w:pPr>
              <w:pStyle w:val="Compact"/>
            </w:pPr>
            <w:r>
              <w:t xml:space="preserve">0.72 [0.64, 0.79]</w:t>
            </w:r>
          </w:p>
        </w:tc>
        <w:tc>
          <w:tcPr/>
          <w:p>
            <w:pPr>
              <w:pStyle w:val="Compact"/>
            </w:pPr>
            <w:r>
              <w:t xml:space="preserve">0.91 [0.88, 0.93]</w:t>
            </w:r>
          </w:p>
        </w:tc>
        <w:tc>
          <w:tcPr/>
          <w:p>
            <w:pPr>
              <w:pStyle w:val="Compact"/>
            </w:pPr>
            <w:r>
              <w:t xml:space="preserve">9.1% [6.5, 11.8]</w:t>
            </w:r>
          </w:p>
        </w:tc>
        <w:tc>
          <w:tcPr/>
          <w:p>
            <w:pPr>
              <w:pStyle w:val="Compact"/>
            </w:pPr>
            <w:r>
              <w:t xml:space="preserve">26.8% [22.3,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822</w:t>
            </w:r>
          </w:p>
        </w:tc>
        <w:tc>
          <w:tcPr/>
          <w:p>
            <w:pPr>
              <w:pStyle w:val="Compact"/>
            </w:pPr>
            <w:r>
              <w:t xml:space="preserve">70.4</w:t>
            </w:r>
          </w:p>
        </w:tc>
        <w:tc>
          <w:tcPr/>
          <w:p>
            <w:pPr>
              <w:pStyle w:val="Compact"/>
            </w:pPr>
            <w:r>
              <w:t xml:space="preserve">0.76 [0.73, 0.79]</w:t>
            </w:r>
          </w:p>
        </w:tc>
        <w:tc>
          <w:tcPr/>
          <w:p>
            <w:pPr>
              <w:pStyle w:val="Compact"/>
            </w:pPr>
            <w:r>
              <w:t xml:space="preserve">0.58 [0.50, 0.66]</w:t>
            </w:r>
          </w:p>
        </w:tc>
        <w:tc>
          <w:tcPr/>
          <w:p>
            <w:pPr>
              <w:pStyle w:val="Compact"/>
            </w:pPr>
            <w:r>
              <w:t xml:space="preserve">0.90 [0.87, 0.92]</w:t>
            </w:r>
          </w:p>
        </w:tc>
        <w:tc>
          <w:tcPr/>
          <w:p>
            <w:pPr>
              <w:pStyle w:val="Compact"/>
            </w:pPr>
            <w:r>
              <w:t xml:space="preserve">10.2% [7.7, 12.7]</w:t>
            </w:r>
          </w:p>
        </w:tc>
        <w:tc>
          <w:tcPr/>
          <w:p>
            <w:pPr>
              <w:pStyle w:val="Compact"/>
            </w:pPr>
            <w:r>
              <w:t xml:space="preserve">34.2% [28.0, 40.2]</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1,301</w:t>
            </w:r>
          </w:p>
        </w:tc>
        <w:tc>
          <w:tcPr/>
          <w:p>
            <w:pPr>
              <w:pStyle w:val="Compact"/>
            </w:pPr>
            <w:r>
              <w:t xml:space="preserve">76.4</w:t>
            </w:r>
          </w:p>
        </w:tc>
        <w:tc>
          <w:tcPr/>
          <w:p>
            <w:pPr>
              <w:pStyle w:val="Compact"/>
            </w:pPr>
            <w:r>
              <w:t xml:space="preserve">0.82 [0.79, 0.84]</w:t>
            </w:r>
          </w:p>
        </w:tc>
        <w:tc>
          <w:tcPr/>
          <w:p>
            <w:pPr>
              <w:pStyle w:val="Compact"/>
            </w:pPr>
            <w:r>
              <w:t xml:space="preserve">0.52 [0.45, 0.58]</w:t>
            </w:r>
          </w:p>
        </w:tc>
        <w:tc>
          <w:tcPr/>
          <w:p>
            <w:pPr>
              <w:pStyle w:val="Compact"/>
            </w:pPr>
            <w:r>
              <w:t xml:space="preserve">0.90 [0.88, 0.92]</w:t>
            </w:r>
          </w:p>
        </w:tc>
        <w:tc>
          <w:tcPr/>
          <w:p>
            <w:pPr>
              <w:pStyle w:val="Compact"/>
            </w:pPr>
            <w:r>
              <w:t xml:space="preserve">10.0% [8.2, 11.9]</w:t>
            </w:r>
          </w:p>
        </w:tc>
        <w:tc>
          <w:tcPr/>
          <w:p>
            <w:pPr>
              <w:pStyle w:val="Compact"/>
            </w:pPr>
            <w:r>
              <w:t xml:space="preserve">34.9% [29.6,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1,301</w:t>
            </w:r>
          </w:p>
        </w:tc>
        <w:tc>
          <w:tcPr/>
          <w:p>
            <w:pPr>
              <w:pStyle w:val="Compact"/>
            </w:pPr>
            <w:r>
              <w:t xml:space="preserve">27.4</w:t>
            </w:r>
          </w:p>
        </w:tc>
        <w:tc>
          <w:tcPr/>
          <w:p>
            <w:pPr>
              <w:pStyle w:val="Compact"/>
            </w:pPr>
            <w:r>
              <w:t xml:space="preserve">0.31 [0.28, 0.33]</w:t>
            </w:r>
          </w:p>
        </w:tc>
        <w:tc>
          <w:tcPr/>
          <w:p>
            <w:pPr>
              <w:pStyle w:val="Compact"/>
            </w:pPr>
            <w:r>
              <w:t xml:space="preserve">0.89 [0.85, 0.93]</w:t>
            </w:r>
          </w:p>
        </w:tc>
        <w:tc>
          <w:tcPr/>
          <w:p>
            <w:pPr>
              <w:pStyle w:val="Compact"/>
            </w:pPr>
            <w:r>
              <w:t xml:space="preserve">0.94 [0.91, 0.96]</w:t>
            </w:r>
          </w:p>
        </w:tc>
        <w:tc>
          <w:tcPr/>
          <w:p>
            <w:pPr>
              <w:pStyle w:val="Compact"/>
            </w:pPr>
            <w:r>
              <w:t xml:space="preserve">6.2% [4.0, 8.7]</w:t>
            </w:r>
          </w:p>
        </w:tc>
        <w:tc>
          <w:tcPr/>
          <w:p>
            <w:pPr>
              <w:pStyle w:val="Compact"/>
            </w:pPr>
            <w:r>
              <w:t xml:space="preserve">19.5% [16.9, 22.0]</w:t>
            </w:r>
          </w:p>
        </w:tc>
      </w:tr>
      <w:tr>
        <w:tc>
          <w:tcPr/>
          <w:p>
            <w:pPr>
              <w:pStyle w:val="Compact"/>
            </w:pPr>
            <w:r>
              <w:t xml:space="preserve">Candidate &lt; 10 meets, Cohort B</w:t>
            </w:r>
          </w:p>
        </w:tc>
        <w:tc>
          <w:tcPr/>
          <w:p>
            <w:pPr>
              <w:pStyle w:val="Compact"/>
            </w:pPr>
            <w:r>
              <w:t xml:space="preserve">&lt; 10</w:t>
            </w:r>
          </w:p>
        </w:tc>
        <w:tc>
          <w:tcPr/>
          <w:p>
            <w:pPr>
              <w:pStyle w:val="Compact"/>
            </w:pPr>
            <w:r>
              <w:t xml:space="preserve">822</w:t>
            </w:r>
          </w:p>
        </w:tc>
        <w:tc>
          <w:tcPr/>
          <w:p>
            <w:pPr>
              <w:pStyle w:val="Compact"/>
            </w:pPr>
            <w:r>
              <w:t xml:space="preserve">24.8</w:t>
            </w:r>
          </w:p>
        </w:tc>
        <w:tc>
          <w:tcPr/>
          <w:p>
            <w:pPr>
              <w:pStyle w:val="Compact"/>
            </w:pPr>
            <w:r>
              <w:t xml:space="preserve">0.29 [0.25, 0.32]</w:t>
            </w:r>
          </w:p>
        </w:tc>
        <w:tc>
          <w:tcPr/>
          <w:p>
            <w:pPr>
              <w:pStyle w:val="Compact"/>
            </w:pPr>
            <w:r>
              <w:t xml:space="preserve">0.93 [0.88, 0.97]</w:t>
            </w:r>
          </w:p>
        </w:tc>
        <w:tc>
          <w:tcPr/>
          <w:p>
            <w:pPr>
              <w:pStyle w:val="Compact"/>
            </w:pPr>
            <w:r>
              <w:t xml:space="preserve">0.95 [0.92, 0.98]</w:t>
            </w:r>
          </w:p>
        </w:tc>
        <w:tc>
          <w:tcPr/>
          <w:p>
            <w:pPr>
              <w:pStyle w:val="Compact"/>
            </w:pPr>
            <w:r>
              <w:t xml:space="preserve">4.9% [2.3, 8.0]</w:t>
            </w:r>
          </w:p>
        </w:tc>
        <w:tc>
          <w:tcPr/>
          <w:p>
            <w:pPr>
              <w:pStyle w:val="Compact"/>
            </w:pPr>
            <w:r>
              <w:t xml:space="preserve">21.4% [18.0, 24.6]</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10 in Cohort B, i.e. &lt; 11).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1"/>
    <w:bookmarkStart w:id="52"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2,095</w:t>
            </w:r>
          </w:p>
        </w:tc>
        <w:tc>
          <w:tcPr/>
          <w:p>
            <w:pPr>
              <w:pStyle w:val="Compact"/>
            </w:pPr>
            <w:r>
              <w:t xml:space="preserve">1,934</w:t>
            </w:r>
          </w:p>
        </w:tc>
        <w:tc>
          <w:tcPr/>
          <w:p>
            <w:pPr>
              <w:pStyle w:val="Compact"/>
            </w:pPr>
            <w:r>
              <w:t xml:space="preserve">0.54 [0.50, 0.57]</w:t>
            </w:r>
          </w:p>
        </w:tc>
        <w:tc>
          <w:tcPr/>
          <w:p>
            <w:pPr>
              <w:pStyle w:val="Compact"/>
            </w:pPr>
            <w:r>
              <w:t xml:space="preserve">0.89</w:t>
            </w:r>
          </w:p>
        </w:tc>
        <w:tc>
          <w:tcPr/>
          <w:p>
            <w:pPr>
              <w:pStyle w:val="Compact"/>
            </w:pPr>
            <w:r>
              <w:t xml:space="preserve">0.743</w:t>
            </w:r>
          </w:p>
        </w:tc>
      </w:tr>
      <w:tr>
        <w:tc>
          <w:tcPr/>
          <w:p>
            <w:pPr>
              <w:pStyle w:val="Compact"/>
            </w:pPr>
            <w:r>
              <w:t xml:space="preserve">First sustained exit (active season followed by ≥2 inactive seasons)</w:t>
            </w:r>
          </w:p>
        </w:tc>
        <w:tc>
          <w:tcPr/>
          <w:p>
            <w:pPr>
              <w:pStyle w:val="Compact"/>
            </w:pPr>
            <w:r>
              <w:t xml:space="preserve">2,095</w:t>
            </w:r>
          </w:p>
        </w:tc>
        <w:tc>
          <w:tcPr/>
          <w:p>
            <w:pPr>
              <w:pStyle w:val="Compact"/>
            </w:pPr>
            <w:r>
              <w:t xml:space="preserve">1,954</w:t>
            </w:r>
          </w:p>
        </w:tc>
        <w:tc>
          <w:tcPr/>
          <w:p>
            <w:pPr>
              <w:pStyle w:val="Compact"/>
            </w:pPr>
            <w:r>
              <w:t xml:space="preserve">0.51 [0.48, 0.54]</w:t>
            </w:r>
          </w:p>
        </w:tc>
        <w:tc>
          <w:tcPr/>
          <w:p>
            <w:pPr>
              <w:pStyle w:val="Compact"/>
            </w:pPr>
            <w:r>
              <w:t xml:space="preserve">0.89</w:t>
            </w:r>
          </w:p>
        </w:tc>
        <w:tc>
          <w:tcPr/>
          <w:p>
            <w:pPr>
              <w:pStyle w:val="Compact"/>
            </w:pPr>
            <w:r>
              <w:t xml:space="preserve">0.755</w:t>
            </w:r>
          </w:p>
        </w:tc>
      </w:tr>
      <w:tr>
        <w:tc>
          <w:tcPr/>
          <w:p>
            <w:pPr>
              <w:pStyle w:val="Compact"/>
            </w:pPr>
            <w:r>
              <w:t xml:space="preserve">First inactive season (any one-season gap ends the spell)</w:t>
            </w:r>
          </w:p>
        </w:tc>
        <w:tc>
          <w:tcPr/>
          <w:p>
            <w:pPr>
              <w:pStyle w:val="Compact"/>
            </w:pPr>
            <w:r>
              <w:t xml:space="preserve">2,095</w:t>
            </w:r>
          </w:p>
        </w:tc>
        <w:tc>
          <w:tcPr/>
          <w:p>
            <w:pPr>
              <w:pStyle w:val="Compact"/>
            </w:pPr>
            <w:r>
              <w:t xml:space="preserve">2,022</w:t>
            </w:r>
          </w:p>
        </w:tc>
        <w:tc>
          <w:tcPr/>
          <w:p>
            <w:pPr>
              <w:pStyle w:val="Compact"/>
            </w:pPr>
            <w:r>
              <w:t xml:space="preserve">0.50 [0.47, 0.53]</w:t>
            </w:r>
          </w:p>
        </w:tc>
        <w:tc>
          <w:tcPr/>
          <w:p>
            <w:pPr>
              <w:pStyle w:val="Compact"/>
            </w:pPr>
            <w:r>
              <w:t xml:space="preserve">0.92</w:t>
            </w:r>
          </w:p>
        </w:tc>
        <w:tc>
          <w:tcPr/>
          <w:p>
            <w:pPr>
              <w:pStyle w:val="Compact"/>
            </w:pPr>
            <w:r>
              <w:t xml:space="preserve">0.771</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(251) had at least one inactive season followed by a return, 4.5% (95) a gap of two or more seasons followed by a return, and 1.8% a gap of three or more. Of 1,770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2"/>
    <w:bookmarkStart w:id="53"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2,123</w:t>
            </w:r>
          </w:p>
        </w:tc>
        <w:tc>
          <w:tcPr/>
          <w:p>
            <w:pPr>
              <w:pStyle w:val="Compact"/>
            </w:pPr>
            <w:r>
              <w:t xml:space="preserve">52.9</w:t>
            </w:r>
          </w:p>
        </w:tc>
        <w:tc>
          <w:tcPr/>
          <w:p>
            <w:pPr>
              <w:pStyle w:val="Compact"/>
            </w:pPr>
            <w:r>
              <w:t xml:space="preserve">19 [10–33]</w:t>
            </w:r>
          </w:p>
        </w:tc>
        <w:tc>
          <w:tcPr/>
          <w:p>
            <w:pPr>
              <w:pStyle w:val="Compact"/>
            </w:pPr>
            <w:r>
              <w:t xml:space="preserve">77.2</w:t>
            </w:r>
          </w:p>
        </w:tc>
        <w:tc>
          <w:tcPr/>
          <w:p>
            <w:pPr>
              <w:pStyle w:val="Compact"/>
            </w:pPr>
            <w:r>
              <w:t xml:space="preserve">16.7</w:t>
            </w:r>
          </w:p>
        </w:tc>
        <w:tc>
          <w:tcPr/>
          <w:p>
            <w:pPr>
              <w:pStyle w:val="Compact"/>
            </w:pPr>
            <w:r>
              <w:t xml:space="preserve">1.62 [1.51, 1.73]</w:t>
            </w:r>
          </w:p>
        </w:tc>
        <w:tc>
          <w:tcPr/>
          <w:p>
            <w:pPr>
              <w:pStyle w:val="Compact"/>
            </w:pPr>
            <w:r>
              <w:t xml:space="preserve">0.741</w:t>
            </w:r>
          </w:p>
        </w:tc>
      </w:tr>
      <w:tr>
        <w:tc>
          <w:tcPr/>
          <w:p>
            <w:pPr>
              <w:pStyle w:val="Compact"/>
            </w:pPr>
            <w:r>
              <w:t xml:space="preserve">Not in cohort (same birth years, ≥1 result at 13–14)</w:t>
            </w:r>
          </w:p>
        </w:tc>
        <w:tc>
          <w:tcPr/>
          <w:p>
            <w:pPr>
              <w:pStyle w:val="Compact"/>
            </w:pPr>
            <w:r>
              <w:t xml:space="preserve">5,204</w:t>
            </w:r>
          </w:p>
        </w:tc>
        <w:tc>
          <w:tcPr/>
          <w:p>
            <w:pPr>
              <w:pStyle w:val="Compact"/>
            </w:pPr>
            <w:r>
              <w:t xml:space="preserve">52.6</w:t>
            </w:r>
          </w:p>
        </w:tc>
        <w:tc>
          <w:tcPr/>
          <w:p>
            <w:pPr>
              <w:pStyle w:val="Compact"/>
            </w:pPr>
            <w:r>
              <w:t xml:space="preserve">2 [1–4]</w:t>
            </w:r>
          </w:p>
        </w:tc>
        <w:tc>
          <w:tcPr/>
          <w:p>
            <w:pPr>
              <w:pStyle w:val="Compact"/>
            </w:pPr>
            <w:r>
              <w:t xml:space="preserve">9.0</w:t>
            </w:r>
          </w:p>
        </w:tc>
        <w:tc>
          <w:tcPr/>
          <w:p>
            <w:pPr>
              <w:pStyle w:val="Compact"/>
            </w:pPr>
            <w:r>
              <w:t xml:space="preserve">2.0</w:t>
            </w:r>
          </w:p>
        </w:tc>
        <w:tc>
          <w:tcPr/>
          <w:p>
            <w:pPr>
              <w:pStyle w:val="Compact"/>
            </w:pPr>
            <w:r>
              <w:t xml:space="preserve">2.07 [1.70, 2.52]</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7,327</w:t>
            </w:r>
          </w:p>
        </w:tc>
        <w:tc>
          <w:tcPr/>
          <w:p>
            <w:pPr>
              <w:pStyle w:val="Compact"/>
            </w:pPr>
            <w:r>
              <w:t xml:space="preserve">52.7</w:t>
            </w:r>
          </w:p>
        </w:tc>
        <w:tc>
          <w:tcPr/>
          <w:p>
            <w:pPr>
              <w:pStyle w:val="Compact"/>
            </w:pPr>
            <w:r>
              <w:t xml:space="preserve">3 [1–12]</w:t>
            </w:r>
          </w:p>
        </w:tc>
        <w:tc>
          <w:tcPr/>
          <w:p>
            <w:pPr>
              <w:pStyle w:val="Compact"/>
            </w:pPr>
            <w:r>
              <w:t xml:space="preserve">28.8</w:t>
            </w:r>
          </w:p>
        </w:tc>
        <w:tc>
          <w:tcPr/>
          <w:p>
            <w:pPr>
              <w:pStyle w:val="Compact"/>
            </w:pPr>
            <w:r>
              <w:t xml:space="preserve">6.3</w:t>
            </w:r>
          </w:p>
        </w:tc>
        <w:tc>
          <w:tcPr/>
          <w:p>
            <w:pPr>
              <w:pStyle w:val="Compact"/>
            </w:pPr>
            <w:r>
              <w:t xml:space="preserve">1.97 [1.87, 2.08]</w:t>
            </w:r>
          </w:p>
        </w:tc>
        <w:tc>
          <w:tcPr/>
          <w:p>
            <w:pPr>
              <w:pStyle w:val="Compact"/>
            </w:pPr>
            <w:r>
              <w:t xml:space="preserve">0.828</w:t>
            </w:r>
          </w:p>
        </w:tc>
      </w:tr>
    </w:tbl>
    <w:p>
      <w:pPr>
        <w:pStyle w:val="BodyText"/>
      </w:pPr>
      <w:r>
        <w:rPr>
          <w:i/>
          <w:iCs/>
        </w:rPr>
        <w:t xml:space="preserve">Note.</w:t>
      </w:r>
      <w:r>
        <w:t xml:space="preserve"> </w:t>
      </w:r>
      <w:r>
        <w:t xml:space="preserve">All athletes born 1998–2002 with at least one registered result at ages 13–14, from the register version of September 2026 (the cohort analyses use April 2026). The cohort comprises 29% of these athletes but 78% of those with ten or more meets at 13–14 and 77% of the 458 who later had an active senior season. Meet counts here are taken directly from the register, where the baseline meet is stored in more than one row; for cohort members they therefore average 2.5 meets more than the de-duplicated counts used in the main analyses. Senior retention: ≥2 results in a calendar year at age 20 or later.</w:t>
      </w:r>
    </w:p>
    <w:p>
      <w:r>
        <w:pict>
          <v:rect style="width:0;height:1.5pt" o:hralign="center" o:hrstd="t" o:hr="t"/>
        </w:pict>
      </w:r>
    </w:p>
    <w:bookmarkEnd w:id="53"/>
    <w:bookmarkStart w:id="54"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15.4% (n = 156)</w:t>
            </w:r>
          </w:p>
        </w:tc>
        <w:tc>
          <w:tcPr/>
          <w:p>
            <w:pPr>
              <w:pStyle w:val="Compact"/>
            </w:pPr>
            <w:r>
              <w:t xml:space="preserve">9.5% (n = 368)</w:t>
            </w:r>
          </w:p>
        </w:tc>
      </w:tr>
      <w:tr>
        <w:tc>
          <w:tcPr/>
          <w:p>
            <w:pPr>
              <w:pStyle w:val="Compact"/>
            </w:pPr>
            <w:r>
              <w:t xml:space="preserve">Q2</w:t>
            </w:r>
          </w:p>
        </w:tc>
        <w:tc>
          <w:tcPr/>
          <w:p>
            <w:pPr>
              <w:pStyle w:val="Compact"/>
            </w:pPr>
            <w:r>
              <w:t xml:space="preserve">17.3% (n = 208)</w:t>
            </w:r>
          </w:p>
        </w:tc>
        <w:tc>
          <w:tcPr/>
          <w:p>
            <w:pPr>
              <w:pStyle w:val="Compact"/>
            </w:pPr>
            <w:r>
              <w:t xml:space="preserve">5.7% (n = 316)</w:t>
            </w:r>
          </w:p>
        </w:tc>
      </w:tr>
      <w:tr>
        <w:tc>
          <w:tcPr/>
          <w:p>
            <w:pPr>
              <w:pStyle w:val="Compact"/>
            </w:pPr>
            <w:r>
              <w:t xml:space="preserve">Q3</w:t>
            </w:r>
          </w:p>
        </w:tc>
        <w:tc>
          <w:tcPr/>
          <w:p>
            <w:pPr>
              <w:pStyle w:val="Compact"/>
            </w:pPr>
            <w:r>
              <w:t xml:space="preserve">23.8% (n = 282)</w:t>
            </w:r>
          </w:p>
        </w:tc>
        <w:tc>
          <w:tcPr/>
          <w:p>
            <w:pPr>
              <w:pStyle w:val="Compact"/>
            </w:pPr>
            <w:r>
              <w:t xml:space="preserve">4.3% (n = 256)</w:t>
            </w:r>
          </w:p>
        </w:tc>
      </w:tr>
      <w:tr>
        <w:tc>
          <w:tcPr/>
          <w:p>
            <w:pPr>
              <w:pStyle w:val="Compact"/>
            </w:pPr>
            <w:r>
              <w:t xml:space="preserve">Q4 (highest)</w:t>
            </w:r>
          </w:p>
        </w:tc>
        <w:tc>
          <w:tcPr/>
          <w:p>
            <w:pPr>
              <w:pStyle w:val="Compact"/>
            </w:pPr>
            <w:r>
              <w:t xml:space="preserve">36.0% (n = 372)</w:t>
            </w:r>
          </w:p>
        </w:tc>
        <w:tc>
          <w:tcPr/>
          <w:p>
            <w:pPr>
              <w:pStyle w:val="Compact"/>
            </w:pPr>
            <w:r>
              <w:t xml:space="preserve">13.9% (n = 137)</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4"/>
    <w:bookmarkEnd w:id="55"/>
    <w:bookmarkStart w:id="74" w:name="supplementary-figures"/>
    <w:p>
      <w:pPr>
        <w:pStyle w:val="Heading1"/>
      </w:pPr>
      <w:r>
        <w:t xml:space="preserve">Supplementary Figures</w:t>
      </w:r>
    </w:p>
    <w:p>
      <w:pPr>
        <w:pStyle w:val="FirstParagraph"/>
      </w:pPr>
      <w:r>
        <w:drawing>
          <wp:inline>
            <wp:extent cx="5334000" cy="5100671"/>
            <wp:effectExtent b="0" l="0" r="0" t="0"/>
            <wp:docPr descr="" title="" id="57" name="Picture"/>
            <a:graphic>
              <a:graphicData uri="http://schemas.openxmlformats.org/drawingml/2006/picture">
                <pic:pic>
                  <pic:nvPicPr>
                    <pic:cNvPr descr="/Users/atleguttormsen/Dropbox/Aktuelt1/Florida25/Statistikk/.claude/worktrees/nervous-brahmagupta-3cddb8/forskning/ncc-kohort/revision_r1/figures/figS0_flow_diagram.png" id="58" name="Picture"/>
                    <pic:cNvPicPr>
                      <a:picLocks noChangeArrowheads="1" noChangeAspect="1"/>
                    </pic:cNvPicPr>
                  </pic:nvPicPr>
                  <pic:blipFill>
                    <a:blip r:embed="rId56"/>
                    <a:stretch>
                      <a:fillRect/>
                    </a:stretch>
                  </pic:blipFill>
                  <pic:spPr bwMode="auto">
                    <a:xfrm>
                      <a:off x="0" y="0"/>
                      <a:ext cx="5334000" cy="5100671"/>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Boundary birth years 1997 and 2003 were excluded because they had only one possible eligible edition in the cohort window. Athletes who attended both the 13-year-old and 14-year-old editions were deduplicated, with the earlier edition used as baseline. Complete-case analysis used 2,095 of 2,123 athletes; 24 athletes without registered sex and 4 further athletes without a baseline Tyrving score were excluded (Supplementary Methods S-M3).</w:t>
      </w:r>
    </w:p>
    <w:p>
      <w:pPr>
        <w:pStyle w:val="BodyText"/>
      </w:pPr>
      <w:r>
        <w:drawing>
          <wp:inline>
            <wp:extent cx="5334000" cy="4792660"/>
            <wp:effectExtent b="0" l="0" r="0" t="0"/>
            <wp:docPr descr="" title="" id="60" name="Picture"/>
            <a:graphic>
              <a:graphicData uri="http://schemas.openxmlformats.org/drawingml/2006/picture">
                <pic:pic>
                  <pic:nvPicPr>
                    <pic:cNvPr descr="/Users/atleguttormsen/Dropbox/Aktuelt1/Florida25/Statistikk/.claude/worktrees/nervous-brahmagupta-3cddb8/forskning/ncc-kohort/revision_r1/figures/figS1_calibration.png" id="61" name="Picture"/>
                    <pic:cNvPicPr>
                      <a:picLocks noChangeArrowheads="1" noChangeAspect="1"/>
                    </pic:cNvPicPr>
                  </pic:nvPicPr>
                  <pic:blipFill>
                    <a:blip r:embed="rId59"/>
                    <a:stretch>
                      <a:fillRect/>
                    </a:stretch>
                  </pic:blipFill>
                  <pic:spPr bwMode="auto">
                    <a:xfrm>
                      <a:off x="0" y="0"/>
                      <a:ext cx="5334000" cy="479266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plot for the post-baseline Cox specification (descriptive). Predicted probability of senior retention is binned into deciles (x-axis); the y-axis shows the observed proportion retained in each decile. Points falling on the diagonal indicate perfect calibration. Calibration of the primary logistic model is reported in Supplementary Table S23.</w:t>
      </w:r>
    </w:p>
    <w:p>
      <w:pPr>
        <w:pStyle w:val="BodyText"/>
      </w:pPr>
      <w:r>
        <w:drawing>
          <wp:inline>
            <wp:extent cx="5334000" cy="2115700"/>
            <wp:effectExtent b="0" l="0" r="0" t="0"/>
            <wp:docPr descr="" title="" id="63" name="Picture"/>
            <a:graphic>
              <a:graphicData uri="http://schemas.openxmlformats.org/drawingml/2006/picture">
                <pic:pic>
                  <pic:nvPicPr>
                    <pic:cNvPr descr="/Users/atleguttormsen/Dropbox/Aktuelt1/Florida25/Statistikk/.claude/worktrees/nervous-brahmagupta-3cddb8/forskning/ncc-kohort/revision_r1/figures/figS2_km_overall_sex.png" id="64" name="Picture"/>
                    <pic:cNvPicPr>
                      <a:picLocks noChangeArrowheads="1" noChangeAspect="1"/>
                    </pic:cNvPicPr>
                  </pic:nvPicPr>
                  <pic:blipFill>
                    <a:blip r:embed="rId62"/>
                    <a:stretch>
                      <a:fillRect/>
                    </a:stretch>
                  </pic:blipFill>
                  <pic:spPr bwMode="auto">
                    <a:xfrm>
                      <a:off x="0" y="0"/>
                      <a:ext cx="5334000" cy="2115700"/>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0.95, p = 0.33.</w:t>
      </w:r>
    </w:p>
    <w:p>
      <w:pPr>
        <w:pStyle w:val="BodyText"/>
      </w:pPr>
      <w:r>
        <w:drawing>
          <wp:inline>
            <wp:extent cx="5334000" cy="3984191"/>
            <wp:effectExtent b="0" l="0" r="0" t="0"/>
            <wp:docPr descr="" title="" id="66" name="Picture"/>
            <a:graphic>
              <a:graphicData uri="http://schemas.openxmlformats.org/drawingml/2006/picture">
                <pic:pic>
                  <pic:nvPicPr>
                    <pic:cNvPr descr="/Users/atleguttormsen/Dropbox/Aktuelt1/Florida25/Statistikk/.claude/worktrees/nervous-brahmagupta-3cddb8/forskning/ncc-kohort/revision_r1/figures/figS3_km_msk_typer.png" id="67" name="Picture"/>
                    <pic:cNvPicPr>
                      <a:picLocks noChangeArrowheads="1" noChangeAspect="1"/>
                    </pic:cNvPicPr>
                  </pic:nvPicPr>
                  <pic:blipFill>
                    <a:blip r:embed="rId65"/>
                    <a:stretch>
                      <a:fillRect/>
                    </a:stretch>
                  </pic:blipFill>
                  <pic:spPr bwMode="auto">
                    <a:xfrm>
                      <a:off x="0" y="0"/>
                      <a:ext cx="5334000" cy="3984191"/>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59101"/>
            <wp:effectExtent b="0" l="0" r="0" t="0"/>
            <wp:docPr descr="" title="" id="69" name="Picture"/>
            <a:graphic>
              <a:graphicData uri="http://schemas.openxmlformats.org/drawingml/2006/picture">
                <pic:pic>
                  <pic:nvPicPr>
                    <pic:cNvPr descr="/Users/atleguttormsen/Dropbox/Aktuelt1/Florida25/Statistikk/.claude/worktrees/nervous-brahmagupta-3cddb8/forskning/ncc-kohort/revision_r1/figures/figS4_time_varying_forest.png" id="70" name="Picture"/>
                    <pic:cNvPicPr>
                      <a:picLocks noChangeArrowheads="1" noChangeAspect="1"/>
                    </pic:cNvPicPr>
                  </pic:nvPicPr>
                  <pic:blipFill>
                    <a:blip r:embed="rId68"/>
                    <a:stretch>
                      <a:fillRect/>
                    </a:stretch>
                  </pic:blipFill>
                  <pic:spPr bwMode="auto">
                    <a:xfrm>
                      <a:off x="0" y="0"/>
                      <a:ext cx="5334000" cy="3559101"/>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2" name="Picture"/>
            <a:graphic>
              <a:graphicData uri="http://schemas.openxmlformats.org/drawingml/2006/picture">
                <pic:pic>
                  <pic:nvPicPr>
                    <pic:cNvPr descr="/Users/atleguttormsen/Dropbox/Aktuelt1/Florida25/Statistikk/.claude/worktrees/nervous-brahmagupta-3cddb8/forskning/ncc-kohort/revision_r1/figures/figS5_event_study.png" id="73" name="Picture"/>
                    <pic:cNvPicPr>
                      <a:picLocks noChangeArrowheads="1" noChangeAspect="1"/>
                    </pic:cNvPicPr>
                  </pic:nvPicPr>
                  <pic:blipFill>
                    <a:blip r:embed="rId71"/>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(1,897 athletes, 8,447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2026-10-01T22:00:04Z</dcterms:created>
  <dcterms:modified xsi:type="dcterms:W3CDTF">2026-10-01T22:00:04Z</dcterms:modified>
</cp:coreProperties>
</file>

<file path=docProps/custom.xml><?xml version="1.0" encoding="utf-8"?>
<Properties xmlns="http://schemas.openxmlformats.org/officeDocument/2006/custom-properties" xmlns:vt="http://schemas.openxmlformats.org/officeDocument/2006/docPropsVTypes"/>
</file>