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1a1110f5c67b714fb1e0d4331d1800dea922abd"/>
    <w:p>
      <w:pPr>
        <w:pStyle w:val="Heading1"/>
      </w:pPr>
      <w:r>
        <w:t xml:space="preserve">Pulling back before dropping out:</w:t>
      </w:r>
      <w:r>
        <w:t xml:space="preserve"> </w:t>
      </w:r>
      <w:r>
        <w:rPr>
          <w:rStyle w:val="Revised"/>
        </w:rPr>
        <w:t xml:space="preserve">Declining competition participation</w:t>
      </w:r>
      <w:r>
        <w:t xml:space="preserve"> </w:t>
      </w:r>
      <w:r>
        <w:t xml:space="preserve">precedes exit from Norwegian youth track and field — a 14-year register study</w:t>
      </w:r>
    </w:p>
    <w:p>
      <w:pPr>
        <w:pStyle w:val="FirstParagraph"/>
      </w:pPr>
      <w:r>
        <w:rPr>
          <w:b/>
          <w:bCs/>
        </w:rPr>
        <w:t xml:space="preserve">Atle Guttormsen</w:t>
      </w:r>
      <w:r>
        <w:t xml:space="preserve"> </w:t>
      </w:r>
      <w:r>
        <w:t xml:space="preserve">School of Economics and Business, Norwegian University of Life Sciences (NMBU), Ås, Norway</w:t>
      </w:r>
    </w:p>
    <w:p>
      <w:pPr>
        <w:pStyle w:val="BodyText"/>
      </w:pPr>
      <w:r>
        <w:rPr>
          <w:b/>
          <w:bCs/>
        </w:rPr>
        <w:t xml:space="preserve">Corresponding author:</w:t>
      </w:r>
      <w:r>
        <w:t xml:space="preserve"> </w:t>
      </w:r>
      <w:r>
        <w:t xml:space="preserve">Atle Guttormsen, School of Economics and Business, Norwegian University of Life Sciences (NMBU), Universitetstunet 3, 1433 Ås, Norway. Email: atle.guttormsen@nmbu.no. ORCID: 0000-0003-0188-8462.</w:t>
      </w:r>
    </w:p>
    <w:p>
      <w:pPr>
        <w:pStyle w:val="BodyText"/>
      </w:pPr>
      <w:r>
        <w:rPr>
          <w:b/>
          <w:bCs/>
        </w:rPr>
        <w:t xml:space="preserve">Running title:</w:t>
      </w:r>
      <w:r>
        <w:t xml:space="preserve"> </w:t>
      </w:r>
      <w:r>
        <w:rPr>
          <w:rStyle w:val="Revised"/>
        </w:rPr>
        <w:t xml:space="preserve">Declining participation precedes exit from youth track and field</w:t>
      </w:r>
    </w:p>
    <w:p>
      <w:pPr>
        <w:pStyle w:val="BodyText"/>
      </w:pPr>
      <w:r>
        <w:rPr>
          <w:b/>
          <w:bCs/>
        </w:rPr>
        <w:t xml:space="preserve">Keywords:</w:t>
      </w:r>
      <w:r>
        <w:t xml:space="preserve"> </w:t>
      </w:r>
      <w:r>
        <w:t xml:space="preserve">youth sport, dropout, athlete retention, longitudinal, track and field, behavioral indicators, sport commitment</w:t>
      </w:r>
    </w:p>
    <w:p>
      <w:r>
        <w:pict>
          <v:rect style="width:0;height:1.5pt" o:hralign="center" o:hrstd="t" o:hr="t"/>
        </w:pict>
      </w:r>
    </w:p>
    <w:bookmarkStart w:id="9" w:name="abstract"/>
    <w:p>
      <w:pPr>
        <w:pStyle w:val="Heading2"/>
      </w:pPr>
      <w:r>
        <w:t xml:space="preserve">Abstract</w:t>
      </w:r>
    </w:p>
    <w:p>
      <w:pPr>
        <w:pStyle w:val="FirstParagraph"/>
      </w:pPr>
      <w:r>
        <w:t xml:space="preserve">Withdrawal from youth sport is theorized as a gradual process, but its longitudinal behavioral signature has been hard to observe directly. We used Norway’s national competition register to follow</w:t>
      </w:r>
      <w:r>
        <w:t xml:space="preserve"> </w:t>
      </w:r>
      <w:r>
        <w:rPr>
          <w:rStyle w:val="Revised"/>
        </w:rPr>
        <w:t xml:space="preserve">2,138</w:t>
      </w:r>
      <w:r>
        <w:t xml:space="preserve"> </w:t>
      </w:r>
      <w:r>
        <w:t xml:space="preserve">athletes who competed as 13–14-year-olds in a regional youth track-and-field meet (birth years 1998–2002) for up to 14 years. In a prospective logistic regression for active senior status (≥2 registered results in a calendar year at age 20+) using only ages-13–14 predictors, competition volume was the</w:t>
      </w:r>
      <w:r>
        <w:t xml:space="preserve"> </w:t>
      </w:r>
      <w:r>
        <w:rPr>
          <w:rStyle w:val="Revised"/>
        </w:rPr>
        <w:t xml:space="preserve">strongest</w:t>
      </w:r>
      <w:r>
        <w:t xml:space="preserve"> </w:t>
      </w:r>
      <w:r>
        <w:t xml:space="preserve">predictor (OR =</w:t>
      </w:r>
      <w:r>
        <w:t xml:space="preserve"> </w:t>
      </w:r>
      <w:r>
        <w:rPr>
          <w:rStyle w:val="Revised"/>
        </w:rPr>
        <w:t xml:space="preserve">2.04</w:t>
      </w:r>
      <w:r>
        <w:t xml:space="preserve"> </w:t>
      </w:r>
      <w:r>
        <w:t xml:space="preserve">per SD, 95% CI</w:t>
      </w:r>
      <w:r>
        <w:t xml:space="preserve"> </w:t>
      </w:r>
      <w:r>
        <w:rPr>
          <w:rStyle w:val="Revised"/>
        </w:rPr>
        <w:t xml:space="preserve">[1.80, 2.32]</w:t>
      </w:r>
      <w:r>
        <w:t xml:space="preserve">; cross-validated AUC =</w:t>
      </w:r>
      <w:r>
        <w:t xml:space="preserve"> </w:t>
      </w:r>
      <w:r>
        <w:rPr>
          <w:rStyle w:val="Revised"/>
        </w:rPr>
        <w:t xml:space="preserve">0.767</w:t>
      </w:r>
      <w:r>
        <w:t xml:space="preserve">; calibration slope</w:t>
      </w:r>
      <w:r>
        <w:t xml:space="preserve"> </w:t>
      </w:r>
      <w:r>
        <w:rPr>
          <w:rStyle w:val="Revised"/>
        </w:rPr>
        <w:t xml:space="preserve">0.98</w:t>
      </w:r>
      <w:r>
        <w:t xml:space="preserve">),</w:t>
      </w:r>
      <w:r>
        <w:t xml:space="preserve"> </w:t>
      </w:r>
      <w:r>
        <w:rPr>
          <w:rStyle w:val="Revised"/>
        </w:rPr>
        <w:t xml:space="preserve">discriminated retention somewhat better than</w:t>
      </w:r>
      <w:r>
        <w:t xml:space="preserve"> </w:t>
      </w:r>
      <w:r>
        <w:t xml:space="preserve">age-normed performance measured in the same window</w:t>
      </w:r>
      <w:r>
        <w:t xml:space="preserve"> </w:t>
      </w:r>
      <w:r>
        <w:rPr>
          <w:rStyle w:val="Revised"/>
        </w:rPr>
        <w:t xml:space="preserve">(which added complementary information; OR = 1.75 per SD)</w:t>
      </w:r>
      <w:r>
        <w:t xml:space="preserve">, was robust to structural controls</w:t>
      </w:r>
      <w:r>
        <w:rPr>
          <w:rStyle w:val="Revised"/>
        </w:rPr>
        <w:t xml:space="preserve">, club random effects, and club-grouped validation, and was reproduced in two adjacent birth cohorts (an internal replication). Competition participation declined within athletes before exit: relative to their own earlier seasons, dropouts competed 12% less two seasons and 23% less one season before their final season, and among athletes still active at 16, declining volume across ages 15–16 predicted lower senior retention (OR = 0.54 per SD of decline). Within-sport event concentration was not robustly associated with retention.</w:t>
      </w:r>
      <w:r>
        <w:t xml:space="preserve"> </w:t>
      </w:r>
      <w:r>
        <w:t xml:space="preserve">A register-based</w:t>
      </w:r>
      <w:r>
        <w:t xml:space="preserve"> </w:t>
      </w:r>
      <w:r>
        <w:rPr>
          <w:rStyle w:val="Revised"/>
        </w:rPr>
        <w:t xml:space="preserve">candidate</w:t>
      </w:r>
      <w:r>
        <w:t xml:space="preserve"> </w:t>
      </w:r>
      <w:r>
        <w:t xml:space="preserve">flag at the end of the age-14 season (&lt; 10 meets) identifies the</w:t>
      </w:r>
      <w:r>
        <w:t xml:space="preserve"> </w:t>
      </w:r>
      <w:r>
        <w:rPr>
          <w:rStyle w:val="Revised"/>
        </w:rPr>
        <w:t xml:space="preserve">27%</w:t>
      </w:r>
      <w:r>
        <w:t xml:space="preserve"> </w:t>
      </w:r>
      <w:r>
        <w:t xml:space="preserve">of athletes whose senior retention is</w:t>
      </w:r>
      <w:r>
        <w:t xml:space="preserve"> </w:t>
      </w:r>
      <w:r>
        <w:rPr>
          <w:rStyle w:val="Revised"/>
        </w:rPr>
        <w:t xml:space="preserve">5.5%</w:t>
      </w:r>
      <w:r>
        <w:t xml:space="preserve">, versus 20% among the unflagged</w:t>
      </w:r>
      <w:r>
        <w:t xml:space="preserve"> </w:t>
      </w:r>
      <w:r>
        <w:rPr>
          <w:rStyle w:val="Revised"/>
        </w:rPr>
        <w:t xml:space="preserve">(the same cut-off emerged in each birth cohort and held when applied to the other)</w:t>
      </w:r>
      <w:r>
        <w:t xml:space="preserve">: a testable targeting rule for retention-supporting outreach in open-entry systems.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Organized youth sport is widely promoted for its benefits for physical health, psychosocial development, and social connection,</w:t>
      </w:r>
      <w:r>
        <w:rPr>
          <w:vertAlign w:val="superscript"/>
        </w:rPr>
        <w:t xml:space="preserve">1</w:t>
      </w:r>
      <w:r>
        <w:t xml:space="preserve"> </w:t>
      </w:r>
      <w:r>
        <w:t xml:space="preserve">benefits that presuppose that young people stay involved. Attrition from organized competition during adolescence is substantial across countries and sports,</w:t>
      </w:r>
      <w:r>
        <w:rPr>
          <w:vertAlign w:val="superscript"/>
        </w:rPr>
        <w:t xml:space="preserve">2</w:t>
      </w:r>
      <w:r>
        <w:t xml:space="preserve"> </w:t>
      </w:r>
      <w:r>
        <w:t xml:space="preserve">and track and field is no exception: in a 25-year Norwegian follow-up, roughly 82% of promising track and field athletes identified in adolescence had left the sport within 14 years,</w:t>
      </w:r>
      <w:r>
        <w:rPr>
          <w:vertAlign w:val="superscript"/>
        </w:rPr>
        <w:t xml:space="preserve">3</w:t>
      </w:r>
      <w:r>
        <w:t xml:space="preserve"> </w:t>
      </w:r>
      <w:r>
        <w:t xml:space="preserve">and in the broad-participation cohort studied here, fewer than half of those competing at ages 13–14 were still competing at 17 (Section 3).</w:t>
      </w:r>
    </w:p>
    <w:p>
      <w:pPr>
        <w:pStyle w:val="BodyText"/>
      </w:pPr>
      <w:r>
        <w:t xml:space="preserve">Terminology in this literature is often ambiguous, so we fix ours at the outset. Following Battaglia et al.,</w:t>
      </w:r>
      <w:r>
        <w:rPr>
          <w:vertAlign w:val="superscript"/>
        </w:rPr>
        <w:t xml:space="preserve">4</w:t>
      </w:r>
      <w:r>
        <w:t xml:space="preserve"> </w:t>
      </w:r>
      <w:r>
        <w:t xml:space="preserve">we distinguish</w:t>
      </w:r>
      <w:r>
        <w:t xml:space="preserve"> </w:t>
      </w:r>
      <w:r>
        <w:rPr>
          <w:i/>
          <w:iCs/>
        </w:rPr>
        <w:t xml:space="preserve">withdrawal</w:t>
      </w:r>
      <w:r>
        <w:t xml:space="preserve">, the gradual process of disengaging from a sport, from</w:t>
      </w:r>
      <w:r>
        <w:t xml:space="preserve"> </w:t>
      </w:r>
      <w:r>
        <w:rPr>
          <w:i/>
          <w:iCs/>
        </w:rPr>
        <w:t xml:space="preserve">dropout</w:t>
      </w:r>
      <w:r>
        <w:t xml:space="preserve">, the state of no longer participating. Our outcome is dropout from organized track and field competition specifically, not from sport or physical activity in general: an athlete who leaves track and field for another sport is, from the register’s perspective, a dropout, a boundary we return to in the limitations. When and how these withdrawals unfold has been difficult to determine with existing methods.</w:t>
      </w:r>
    </w:p>
    <w:bookmarkEnd w:id="10"/>
    <w:bookmarkStart w:id="11" w:name="Xae61d54bee8687ee0b95769c5dd912a5824b5c9"/>
    <w:p>
      <w:pPr>
        <w:pStyle w:val="Heading2"/>
      </w:pPr>
      <w:r>
        <w:t xml:space="preserve">1.1 Withdrawal as a deliberative, gradual process</w:t>
      </w:r>
    </w:p>
    <w:p>
      <w:pPr>
        <w:pStyle w:val="FirstParagraph"/>
      </w:pPr>
      <w:r>
        <w:t xml:space="preserve">Qualitative research indicates that</w:t>
      </w:r>
      <w:r>
        <w:t xml:space="preserve"> </w:t>
      </w:r>
      <w:r>
        <w:rPr>
          <w:i/>
          <w:iCs/>
        </w:rPr>
        <w:t xml:space="preserve">withdrawal is a process</w:t>
      </w:r>
      <w:r>
        <w:t xml:space="preserve"> </w:t>
      </w:r>
      <w:r>
        <w:t xml:space="preserve">rather than a discrete event,</w:t>
      </w:r>
      <w:r>
        <w:rPr>
          <w:vertAlign w:val="superscript"/>
        </w:rPr>
        <w:t xml:space="preserve">5</w:t>
      </w:r>
      <w:r>
        <w:t xml:space="preserve"> </w:t>
      </w:r>
      <w:r>
        <w:t xml:space="preserve">so some form of decline over a period of time should be expected. The Sport Commitment Model</w:t>
      </w:r>
      <w:r>
        <w:rPr>
          <w:vertAlign w:val="superscript"/>
        </w:rPr>
        <w:t xml:space="preserve">6,7</w:t>
      </w:r>
      <w:r>
        <w:t xml:space="preserve"> </w:t>
      </w:r>
      <w:r>
        <w:t xml:space="preserve">describes how the desire and resolve to continue are shaped by enjoyment, personal investments, involvement opportunities, attractive alternatives, and social constraints; Kretchmar’s</w:t>
      </w:r>
      <w:r>
        <w:rPr>
          <w:vertAlign w:val="superscript"/>
        </w:rPr>
        <w:t xml:space="preserve">8</w:t>
      </w:r>
      <w:r>
        <w:t xml:space="preserve"> </w:t>
      </w:r>
      <w:r>
        <w:t xml:space="preserve">account of meaning in movement similarly ties sustained participation to the meaningfulness individuals assign to the activity, not necessarily to success.</w:t>
      </w:r>
    </w:p>
    <w:p>
      <w:pPr>
        <w:pStyle w:val="BodyText"/>
      </w:pPr>
      <w:r>
        <w:t xml:space="preserve">The most developed account of this process view comes from sociology. Eliasson and Johansson</w:t>
      </w:r>
      <w:r>
        <w:rPr>
          <w:vertAlign w:val="superscript"/>
        </w:rPr>
        <w:t xml:space="preserve">5</w:t>
      </w:r>
      <w:r>
        <w:t xml:space="preserve"> </w:t>
      </w:r>
      <w:r>
        <w:t xml:space="preserve">applied Ebaugh’s</w:t>
      </w:r>
      <w:r>
        <w:rPr>
          <w:vertAlign w:val="superscript"/>
        </w:rPr>
        <w:t xml:space="preserve">9</w:t>
      </w:r>
      <w:r>
        <w:t xml:space="preserve"> </w:t>
      </w:r>
      <w:r>
        <w:t xml:space="preserve">role-exit framework, in which leaving a social role proceeds through stages of first doubts, seeking and weighing alternatives, a turning point, and the construction of an ex-role identity, to youth sport, interviewing adolescent girls and their parents. Withdrawal resulted from interacting changes in the sport organization, the athletes’ broader lives, and the expectations attached to the young-athlete role; the process could be long, emotionally demanding, and decreasingly reversible. Survey evidence from Norwegian youth complements this picture: stated reasons for leaving organized sport are diverse and patterned by social background, with sport expenses cited more often by minority youth from less-resourced families.</w:t>
      </w:r>
      <w:r>
        <w:rPr>
          <w:vertAlign w:val="superscript"/>
        </w:rPr>
        <w:t xml:space="preserve">10</w:t>
      </w:r>
    </w:p>
    <w:p>
      <w:pPr>
        <w:pStyle w:val="BodyText"/>
      </w:pPr>
      <w:r>
        <w:t xml:space="preserve">Groups of athletes also appear to differ in how they respond when competitive demands increase. Norwegian participation research documents strong variation in involvement: training investment varies widely,</w:t>
      </w:r>
      <w:r>
        <w:rPr>
          <w:vertAlign w:val="superscript"/>
        </w:rPr>
        <w:t xml:space="preserve">11</w:t>
      </w:r>
      <w:r>
        <w:t xml:space="preserve"> </w:t>
      </w:r>
      <w:r>
        <w:t xml:space="preserve">and a significant minority hold</w:t>
      </w:r>
      <w:r>
        <w:t xml:space="preserve"> </w:t>
      </w:r>
      <w:r>
        <w:t xml:space="preserve">“heavy”</w:t>
      </w:r>
      <w:r>
        <w:t xml:space="preserve"> </w:t>
      </w:r>
      <w:r>
        <w:t xml:space="preserve">involvement motives (intense love of the game or career pursuits), while the larger group appreciate</w:t>
      </w:r>
      <w:r>
        <w:t xml:space="preserve"> </w:t>
      </w:r>
      <w:r>
        <w:t xml:space="preserve">“lighter”</w:t>
      </w:r>
      <w:r>
        <w:t xml:space="preserve"> </w:t>
      </w:r>
      <w:r>
        <w:t xml:space="preserve">involvement built on fun, exercise, and belonging, quitting more readily when sport becomes too demanding alongside everything else.</w:t>
      </w:r>
      <w:r>
        <w:rPr>
          <w:vertAlign w:val="superscript"/>
        </w:rPr>
        <w:t xml:space="preserve">12</w:t>
      </w:r>
      <w:r>
        <w:t xml:space="preserve"> </w:t>
      </w:r>
      <w:r>
        <w:t xml:space="preserve">The Sport Commitment Model’s distinction between enthusiastic and constrained commitment gives such divergent responses a theoretical basis.</w:t>
      </w:r>
      <w:r>
        <w:rPr>
          <w:vertAlign w:val="superscript"/>
        </w:rPr>
        <w:t xml:space="preserve">7</w:t>
      </w:r>
      <w:r>
        <w:t xml:space="preserve"> </w:t>
      </w:r>
      <w:r>
        <w:t xml:space="preserve">Consistent with the idea that such differences leave behavioral traces well before exit, retrospective comparisons of developmental activities show that youth ice-hockey players who later dropped out already differed from persisting peers in their earlier training patterns, for example taking up intense sport-specific off-ice training at younger ages.</w:t>
      </w:r>
      <w:r>
        <w:rPr>
          <w:vertAlign w:val="superscript"/>
        </w:rPr>
        <w:t xml:space="preserve">13</w:t>
      </w:r>
      <w:r>
        <w:t xml:space="preserve"> </w:t>
      </w:r>
      <w:r>
        <w:t xml:space="preserve">We therefore expect casually engaged participants to show declining participation through the teenage years, while deeply committed participants sustain theirs.</w:t>
      </w:r>
    </w:p>
    <w:bookmarkEnd w:id="11"/>
    <w:bookmarkStart w:id="12" w:name="the-quantitative-gap"/>
    <w:p>
      <w:pPr>
        <w:pStyle w:val="Heading2"/>
      </w:pPr>
      <w:r>
        <w:t xml:space="preserve">1.2 The quantitative gap</w:t>
      </w:r>
    </w:p>
    <w:p>
      <w:pPr>
        <w:pStyle w:val="FirstParagraph"/>
      </w:pPr>
      <w:r>
        <w:t xml:space="preserve">These theories indicate what might happen over time as participants continue or withdraw from their sport(s), but none provides direct longitudinal behavioral evidence. Withdrawn athletes are systematically harder to recruit into surveys,</w:t>
      </w:r>
      <w:r>
        <w:rPr>
          <w:vertAlign w:val="superscript"/>
        </w:rPr>
        <w:t xml:space="preserve">1</w:t>
      </w:r>
      <w:r>
        <w:t xml:space="preserve"> </w:t>
      </w:r>
      <w:r>
        <w:t xml:space="preserve">and the hypothesized timescale (1–3 years) exceeds most prospective follow-up windows: Sarrazin et al.’s</w:t>
      </w:r>
      <w:r>
        <w:rPr>
          <w:vertAlign w:val="superscript"/>
        </w:rPr>
        <w:t xml:space="preserve">14</w:t>
      </w:r>
      <w:r>
        <w:t xml:space="preserve"> </w:t>
      </w:r>
      <w:r>
        <w:t xml:space="preserve">21-month handball study is unusually long and still does not bridge the adolescent-to-junior transition. A separate quantitative tradition studies correlates of dropout and development, such as relative age effects</w:t>
      </w:r>
      <w:r>
        <w:rPr>
          <w:vertAlign w:val="superscript"/>
        </w:rPr>
        <w:t xml:space="preserve">15</w:t>
      </w:r>
      <w:r>
        <w:t xml:space="preserve"> </w:t>
      </w:r>
      <w:r>
        <w:t xml:space="preserve">and specialization,</w:t>
      </w:r>
      <w:r>
        <w:rPr>
          <w:vertAlign w:val="superscript"/>
        </w:rPr>
        <w:t xml:space="preserve">16–19</w:t>
      </w:r>
      <w:r>
        <w:t xml:space="preserve"> </w:t>
      </w:r>
      <w:r>
        <w:t xml:space="preserve">and studies of proximal psychological constructs such as burnout, motivation, and peer relations</w:t>
      </w:r>
      <w:r>
        <w:rPr>
          <w:vertAlign w:val="superscript"/>
        </w:rPr>
        <w:t xml:space="preserve">20–22</w:t>
      </w:r>
      <w:r>
        <w:t xml:space="preserve">; prospective predictors of adolescent team-sport dropout have been meta-analyzed,</w:t>
      </w:r>
      <w:r>
        <w:rPr>
          <w:vertAlign w:val="superscript"/>
        </w:rPr>
        <w:t xml:space="preserve">23</w:t>
      </w:r>
      <w:r>
        <w:t xml:space="preserve"> </w:t>
      </w:r>
      <w:r>
        <w:t xml:space="preserve">and in athletics, rankings databases have been used to study</w:t>
      </w:r>
      <w:r>
        <w:t xml:space="preserve"> </w:t>
      </w:r>
      <w:r>
        <w:rPr>
          <w:i/>
          <w:iCs/>
        </w:rPr>
        <w:t xml:space="preserve">performance</w:t>
      </w:r>
      <w:r>
        <w:t xml:space="preserve"> </w:t>
      </w:r>
      <w:r>
        <w:t xml:space="preserve">trajectories across the youth-to-senior transition.</w:t>
      </w:r>
      <w:r>
        <w:rPr>
          <w:vertAlign w:val="superscript"/>
        </w:rPr>
        <w:t xml:space="preserve">24</w:t>
      </w:r>
      <w:r>
        <w:t xml:space="preserve"> </w:t>
      </w:r>
      <w:r>
        <w:t xml:space="preserve">The</w:t>
      </w:r>
      <w:r>
        <w:t xml:space="preserve"> </w:t>
      </w:r>
      <w:r>
        <w:rPr>
          <w:i/>
          <w:iCs/>
        </w:rPr>
        <w:t xml:space="preserve">participation</w:t>
      </w:r>
      <w:r>
        <w:t xml:space="preserve"> </w:t>
      </w:r>
      <w:r>
        <w:t xml:space="preserve">trajectory itself, competition behavior recorded entry by entry, has not, to our knowledge, been examined: an observable proxy for the engagement balance (the net of enjoyment and investment against constraint in the Sport Commitment Model) whose course the qualitative literature describes but cannot measure.</w:t>
      </w:r>
    </w:p>
    <w:bookmarkEnd w:id="12"/>
    <w:bookmarkStart w:id="13" w:name="the-present-study"/>
    <w:p>
      <w:pPr>
        <w:pStyle w:val="Heading2"/>
      </w:pPr>
      <w:r>
        <w:t xml:space="preserve">1.3 The present study</w:t>
      </w:r>
    </w:p>
    <w:p>
      <w:pPr>
        <w:pStyle w:val="FirstParagraph"/>
      </w:pPr>
      <w:r>
        <w:t xml:space="preserve">Track and field suits such a test: participation choices are visible event by event, entries are individually chosen rather than coach-selected (Section 2.2), performances are objectively measured, and a single national register captures every sanctioned result. We studied</w:t>
      </w:r>
      <w:r>
        <w:t xml:space="preserve"> </w:t>
      </w:r>
      <w:r>
        <w:rPr>
          <w:rStyle w:val="Revised"/>
        </w:rPr>
        <w:t xml:space="preserve">2,138</w:t>
      </w:r>
      <w:r>
        <w:t xml:space="preserve"> </w:t>
      </w:r>
      <w:r>
        <w:t xml:space="preserve">Norwegian youth athletes longitudinally for up to 14 years using the federation’s competition register (see Figure 1) and tested three hypotheses. First, because withdrawal is described as a protracted, deliberative process</w:t>
      </w:r>
      <w:r>
        <w:rPr>
          <w:vertAlign w:val="superscript"/>
        </w:rPr>
        <w:t xml:space="preserve">5,9</w:t>
      </w:r>
      <w:r>
        <w:t xml:space="preserve"> </w:t>
      </w:r>
      <w:r>
        <w:t xml:space="preserve">and because heavily and lightly involved participants are expected to respond differently to rising competitive demands,</w:t>
      </w:r>
      <w:r>
        <w:rPr>
          <w:vertAlign w:val="superscript"/>
        </w:rPr>
        <w:t xml:space="preserve">7,12</w:t>
      </w:r>
      <w:r>
        <w:t xml:space="preserve"> </w:t>
      </w:r>
      <w:r>
        <w:t xml:space="preserve">we predicted that the</w:t>
      </w:r>
      <w:r>
        <w:t xml:space="preserve"> </w:t>
      </w:r>
      <w:r>
        <w:rPr>
          <w:i/>
          <w:iCs/>
        </w:rPr>
        <w:t xml:space="preserve">participation trajectories</w:t>
      </w:r>
      <w:r>
        <w:t xml:space="preserve"> </w:t>
      </w:r>
      <w:r>
        <w:t xml:space="preserve">of future retainers and future dropouts would diverge before the final registered season, in two separable forms that we test separately: early between-athlete differences in level, and within-athlete decline. Second, because the determinants of sport commitment are experiential and volitional (enjoyment, investment, alternatives, constraint) rather than ability-based,</w:t>
      </w:r>
      <w:r>
        <w:rPr>
          <w:vertAlign w:val="superscript"/>
        </w:rPr>
        <w:t xml:space="preserve">6,7</w:t>
      </w:r>
      <w:r>
        <w:t xml:space="preserve"> </w:t>
      </w:r>
      <w:r>
        <w:t xml:space="preserve">we predicted that</w:t>
      </w:r>
      <w:r>
        <w:t xml:space="preserve"> </w:t>
      </w:r>
      <w:r>
        <w:rPr>
          <w:i/>
          <w:iCs/>
        </w:rPr>
        <w:t xml:space="preserve">behavioral engagement indicators</w:t>
      </w:r>
      <w:r>
        <w:t xml:space="preserve"> </w:t>
      </w:r>
      <w:r>
        <w:t xml:space="preserve">would</w:t>
      </w:r>
      <w:r>
        <w:t xml:space="preserve"> </w:t>
      </w:r>
      <w:r>
        <w:rPr>
          <w:rStyle w:val="Revised"/>
        </w:rPr>
        <w:t xml:space="preserve">discriminate</w:t>
      </w:r>
      <w:r>
        <w:t xml:space="preserve"> </w:t>
      </w:r>
      <w:r>
        <w:t xml:space="preserve">subsequent senior retention better than</w:t>
      </w:r>
      <w:r>
        <w:t xml:space="preserve"> </w:t>
      </w:r>
      <w:r>
        <w:rPr>
          <w:i/>
          <w:iCs/>
        </w:rPr>
        <w:t xml:space="preserve">baseline performance</w:t>
      </w:r>
      <w:r>
        <w:t xml:space="preserve"> </w:t>
      </w:r>
      <w:r>
        <w:t xml:space="preserve">would. Third, as a robustness expectation rather than a theory-derived prediction, the pattern should</w:t>
      </w:r>
      <w:r>
        <w:t xml:space="preserve"> </w:t>
      </w:r>
      <w:r>
        <w:rPr>
          <w:rStyle w:val="Revised"/>
        </w:rPr>
        <w:t xml:space="preserve">be</w:t>
      </w:r>
      <w:r>
        <w:rPr>
          <w:rStyle w:val="Revised"/>
        </w:rPr>
        <w:t xml:space="preserve"> </w:t>
      </w:r>
      <w:r>
        <w:rPr>
          <w:rStyle w:val="Revised"/>
          <w:i/>
          <w:iCs/>
        </w:rPr>
        <w:t xml:space="preserve">reproduced</w:t>
      </w:r>
      <w:r>
        <w:rPr>
          <w:rStyle w:val="Revised"/>
        </w:rPr>
        <w:t xml:space="preserve"> </w:t>
      </w:r>
      <w:r>
        <w:rPr>
          <w:rStyle w:val="Revised"/>
        </w:rPr>
        <w:t xml:space="preserve">in two adjacent birth-year cohorts of the same register (an internal replication)</w:t>
      </w:r>
      <w:r>
        <w:t xml:space="preserve">. Throughout,</w:t>
      </w:r>
      <w:r>
        <w:t xml:space="preserve"> </w:t>
      </w:r>
      <w:r>
        <w:rPr>
          <w:i/>
          <w:iCs/>
        </w:rPr>
        <w:t xml:space="preserve">competition behavior</w:t>
      </w:r>
      <w:r>
        <w:t xml:space="preserve"> </w:t>
      </w:r>
      <w:r>
        <w:t xml:space="preserve">is an observable behavioral indicator, not a direct measure of motivation, whose temporal structure can be compared with process accounts</w:t>
      </w:r>
      <w:r>
        <w:rPr>
          <w:rStyle w:val="Revised"/>
        </w:rPr>
        <w:t xml:space="preserve">: declining competition participation is treated as a behavioral marker of disengagement, not as disengagement itself</w:t>
      </w:r>
      <w:r>
        <w:t xml:space="preserve">; convergence between register patterns and the qualitative literature strengthens both.</w:t>
      </w:r>
    </w:p>
    <w:p>
      <w:r>
        <w:pict>
          <v:rect style="width:0;height:1.5pt" o:hralign="center" o:hrstd="t" o:hr="t"/>
        </w:pict>
      </w:r>
    </w:p>
    <w:bookmarkEnd w:id="13"/>
    <w:bookmarkStart w:id="14" w:name="method"/>
    <w:p>
      <w:pPr>
        <w:pStyle w:val="Heading2"/>
      </w:pPr>
      <w:r>
        <w:t xml:space="preserve">2. Method</w:t>
      </w:r>
    </w:p>
    <w:bookmarkEnd w:id="14"/>
    <w:bookmarkStart w:id="15" w:name="design"/>
    <w:p>
      <w:pPr>
        <w:pStyle w:val="Heading2"/>
      </w:pPr>
      <w:r>
        <w:t xml:space="preserve">2.1 Design</w:t>
      </w:r>
    </w:p>
    <w:p>
      <w:pPr>
        <w:pStyle w:val="FirstParagraph"/>
      </w:pPr>
      <w:r>
        <w:t xml:space="preserve">This retrospective longitudinal cohort study uses the national competition register as its only data source; the cohort is the entire population satisfying the inclusion criterion, so estimates describe that population. We follow the Strengthening the Reporting of Observational Studies in Epidemiology (STROBE) guideline where relevant.</w:t>
      </w:r>
      <w:r>
        <w:rPr>
          <w:vertAlign w:val="superscript"/>
        </w:rPr>
        <w:t xml:space="preserve">25</w:t>
      </w:r>
    </w:p>
    <w:bookmarkEnd w:id="15"/>
    <w:bookmarkStart w:id="16" w:name="setting-and-inclusion"/>
    <w:p>
      <w:pPr>
        <w:pStyle w:val="Heading2"/>
      </w:pPr>
      <w:r>
        <w:t xml:space="preserve">2.2 Setting and inclusion</w:t>
      </w:r>
    </w:p>
    <w:p>
      <w:pPr>
        <w:pStyle w:val="FirstParagraph"/>
      </w:pPr>
      <w:r>
        <w:t xml:space="preserve">Norwegian youth track and field is organized as a low-threshold, open-entry system. Up to age 15, essentially all meets are open to all club-registered athletes: there are no qualifying standards, no roster selection, and no coach-controlled gatekeeping.</w:t>
      </w:r>
      <w:r>
        <w:rPr>
          <w:vertAlign w:val="superscript"/>
        </w:rPr>
        <w:t xml:space="preserve">26</w:t>
      </w:r>
      <w:r>
        <w:t xml:space="preserve"> </w:t>
      </w:r>
      <w:r>
        <w:t xml:space="preserve">(The exception, occasional invitational regional-team matches for 14–15-year-olds, does not gate ordinary competition.) Athletes and their families decide which meets and events to enter; entry fees are ordinarily paid by the club, participation is actively encouraged, and travel distances are typically short. The first genuinely selective competition is the national youth championship (Ungdomsmesterskapet, UM), open from the calendar year athletes turn 15, with event-specific qualifying standards. Two design consequences follow: before age 15, meet counts primarily express the athlete’s own choice rather than selection or entry costs, which licenses interpreting ages-13–14 volume as a behavioral indicator of engagement; and the ages-15–16 window coincides with the first selective gate (UM), which is why the pre-milestone (13–14) and milestone (15–16) windows are analyzed separately.</w:t>
      </w:r>
    </w:p>
    <w:p>
      <w:pPr>
        <w:pStyle w:val="BodyText"/>
      </w:pPr>
      <w:r>
        <w:t xml:space="preserve">The cohort comprises all athletes who competed in any of six consecutive autumn editions (2011–2016) of a regional grassroots youth meet held simultaneously at three venues in eastern, western, and mid Norway (the last also serving the northern districts). Athletes were 13–14 and were entered by their district federations under district quotas, with no qualifying performance standard and no entry fee; this soft selection into the baseline meet is a design feature: disengagement trajectories arise from a baseline of demonstrable engagement.</w:t>
      </w:r>
      <w:r>
        <w:t xml:space="preserve"> </w:t>
      </w:r>
      <w:r>
        <w:rPr>
          <w:rStyle w:val="Revised"/>
        </w:rPr>
        <w:t xml:space="preserve">The target population is thus the engaged core of the age group, not every athlete with a registered result (Section 3.1).</w:t>
      </w:r>
      <w:r>
        <w:t xml:space="preserve"> </w:t>
      </w:r>
      <w:r>
        <w:t xml:space="preserve">Birth years were restricted to 1998–2002 (boundary years 1997 and 2003 had only one eligible edition), and athletes appearing in both a 13- and a 14-year-old edition were de-duplicated to the earlier one (Supplementary Figure S0).</w:t>
      </w:r>
      <w:r>
        <w:t xml:space="preserve"> </w:t>
      </w:r>
      <w:r>
        <w:rPr>
          <w:rStyle w:val="Revised"/>
        </w:rPr>
        <w:t xml:space="preserve">Participation was identified by venue and date, because some venue-days are filed under other meet names (Supplementary Methods S-M12).</w:t>
      </w:r>
      <w:r>
        <w:t xml:space="preserve"> </w:t>
      </w:r>
      <w:r>
        <w:t xml:space="preserve">For</w:t>
      </w:r>
      <w:r>
        <w:t xml:space="preserve"> </w:t>
      </w:r>
      <w:r>
        <w:rPr>
          <w:rStyle w:val="Revised"/>
        </w:rPr>
        <w:t xml:space="preserve">an internal cohort replication</w:t>
      </w:r>
      <w:r>
        <w:t xml:space="preserve">, participants were partitioned into Cohort A (births 1998–2000, baseline meets 2011–2014; n =</w:t>
      </w:r>
      <w:r>
        <w:t xml:space="preserve"> </w:t>
      </w:r>
      <w:r>
        <w:rPr>
          <w:rStyle w:val="Revised"/>
        </w:rPr>
        <w:t xml:space="preserve">1,309</w:t>
      </w:r>
      <w:r>
        <w:t xml:space="preserve">) and Cohort B (births 2001–2002, baseline meets 2014–2016; n =</w:t>
      </w:r>
      <w:r>
        <w:t xml:space="preserve"> </w:t>
      </w:r>
      <w:r>
        <w:rPr>
          <w:rStyle w:val="Revised"/>
        </w:rPr>
        <w:t xml:space="preserve">829</w:t>
      </w:r>
      <w:r>
        <w:t xml:space="preserve">). Athletes were retained regardless of club transfers (</w:t>
      </w:r>
      <w:r>
        <w:rPr>
          <w:rStyle w:val="Revised"/>
        </w:rPr>
        <w:t xml:space="preserve">27.6%</w:t>
      </w:r>
      <w:r>
        <w:t xml:space="preserve"> </w:t>
      </w:r>
      <w:r>
        <w:t xml:space="preserve">recorded results for two or more clubs), so changing club does not register as dropout. The total cohort comprised</w:t>
      </w:r>
      <w:r>
        <w:t xml:space="preserve"> </w:t>
      </w:r>
      <w:r>
        <w:rPr>
          <w:rStyle w:val="Revised"/>
        </w:rPr>
        <w:t xml:space="preserve">2,138</w:t>
      </w:r>
      <w:r>
        <w:t xml:space="preserve"> </w:t>
      </w:r>
      <w:r>
        <w:t xml:space="preserve">athletes (</w:t>
      </w:r>
      <w:r>
        <w:rPr>
          <w:rStyle w:val="Revised"/>
        </w:rPr>
        <w:t xml:space="preserve">1,006</w:t>
      </w:r>
      <w:r>
        <w:t xml:space="preserve"> </w:t>
      </w:r>
      <w:r>
        <w:t xml:space="preserve">male,</w:t>
      </w:r>
      <w:r>
        <w:t xml:space="preserve"> </w:t>
      </w:r>
      <w:r>
        <w:rPr>
          <w:rStyle w:val="Revised"/>
        </w:rPr>
        <w:t xml:space="preserve">1,130</w:t>
      </w:r>
      <w:r>
        <w:t xml:space="preserve"> </w:t>
      </w:r>
      <w:r>
        <w:t xml:space="preserve">female,</w:t>
      </w:r>
      <w:r>
        <w:t xml:space="preserve"> </w:t>
      </w:r>
      <w:r>
        <w:rPr>
          <w:rStyle w:val="Revised"/>
        </w:rPr>
        <w:t xml:space="preserve">2</w:t>
      </w:r>
      <w:r>
        <w:t xml:space="preserve"> </w:t>
      </w:r>
      <w:r>
        <w:t xml:space="preserve">with</w:t>
      </w:r>
      <w:r>
        <w:t xml:space="preserve"> </w:t>
      </w:r>
      <w:r>
        <w:rPr>
          <w:rStyle w:val="Revised"/>
        </w:rPr>
        <w:t xml:space="preserve">no registered</w:t>
      </w:r>
      <w:r>
        <w:t xml:space="preserve"> </w:t>
      </w:r>
      <w:r>
        <w:t xml:space="preserve">sex), generating</w:t>
      </w:r>
      <w:r>
        <w:t xml:space="preserve"> </w:t>
      </w:r>
      <w:r>
        <w:rPr>
          <w:rStyle w:val="Revised"/>
        </w:rPr>
        <w:t xml:space="preserve">231,144</w:t>
      </w:r>
      <w:r>
        <w:t xml:space="preserve"> </w:t>
      </w:r>
      <w:r>
        <w:t xml:space="preserve">competition entries</w:t>
      </w:r>
      <w:r>
        <w:t xml:space="preserve"> </w:t>
      </w:r>
      <w:r>
        <w:rPr>
          <w:rStyle w:val="Revised"/>
        </w:rPr>
        <w:t xml:space="preserve">through 2025 (register extract of May 2026; corrections made after a data audit during revision are listed in Supplementary Methods S-M12).</w:t>
      </w:r>
    </w:p>
    <w:bookmarkEnd w:id="16"/>
    <w:bookmarkStart w:id="17" w:name="follow-up-window"/>
    <w:p>
      <w:pPr>
        <w:pStyle w:val="Heading2"/>
      </w:pPr>
      <w:r>
        <w:t xml:space="preserve">2.3 Follow-up window</w:t>
      </w:r>
    </w:p>
    <w:p>
      <w:pPr>
        <w:pStyle w:val="FirstParagraph"/>
      </w:pPr>
      <w:r>
        <w:t xml:space="preserve">Each athlete was followed from baseline through the most recent complete competition season (2025): maximum 14 years (births 1998), minimum 9 years (births 2002). All athletes had follow-up past the senior age threshold (age 20).</w:t>
      </w:r>
    </w:p>
    <w:bookmarkEnd w:id="17"/>
    <w:bookmarkStart w:id="23" w:name="variables"/>
    <w:p>
      <w:pPr>
        <w:pStyle w:val="Heading2"/>
      </w:pPr>
      <w:r>
        <w:t xml:space="preserve">2.4 Variables</w:t>
      </w:r>
    </w:p>
    <w:bookmarkStart w:id="18" w:name="outcome"/>
    <w:p>
      <w:pPr>
        <w:pStyle w:val="Heading3"/>
      </w:pPr>
      <w:r>
        <w:t xml:space="preserve">2.4.1 Outcome</w:t>
      </w:r>
    </w:p>
    <w:p>
      <w:pPr>
        <w:pStyle w:val="FirstParagraph"/>
      </w:pPr>
      <w:r>
        <w:t xml:space="preserve">Active senior status was coded 1 if the athlete had ≥2 registered results in any calendar year at age 20+ (the senior age), and 0 otherwise; two results exclude sporadic returners while capturing athletes entering separate events at one meet. Sensitivity to this definition was tested with two alternatives (≥1 senior-age result; ≥2 results in each of two distinct senior-age years; Supplementary Table S9). A secondary time-to-event outcome (time to last active season, right-censoring athletes active in 2024+) supports Kaplan–Meier and Cox analyses (Section 2.5.4).</w:t>
      </w:r>
      <w:r>
        <w:t xml:space="preserve"> </w:t>
      </w:r>
      <w:r>
        <w:rPr>
          <w:rStyle w:val="Revised"/>
        </w:rPr>
        <w:t xml:space="preserve">Both outcomes refer to the final active season observed through 2025, so a temporary break followed by a return is not an exit.</w:t>
      </w:r>
    </w:p>
    <w:bookmarkEnd w:id="18"/>
    <w:bookmarkStart w:id="19" w:name="performance"/>
    <w:p>
      <w:pPr>
        <w:pStyle w:val="Heading3"/>
      </w:pPr>
      <w:r>
        <w:t xml:space="preserve">2.4.2 Performance</w:t>
      </w:r>
    </w:p>
    <w:p>
      <w:pPr>
        <w:pStyle w:val="FirstParagraph"/>
      </w:pPr>
      <w:r>
        <w:t xml:space="preserve">Each result was scored in Tyrving points, the Norwegian federation’s age-norm system</w:t>
      </w:r>
      <w:r>
        <w:rPr>
          <w:vertAlign w:val="superscript"/>
        </w:rPr>
        <w:t xml:space="preserve">27</w:t>
      </w:r>
      <w:r>
        <w:t xml:space="preserve">: a published table gives, per event × sex × age, a reference performance worth 1,000 points and a per-unit quotient (values capped at 1,500 to suppress data-entry errors).</w:t>
      </w:r>
      <w:r>
        <w:t xml:space="preserve"> </w:t>
      </w:r>
      <w:r>
        <w:rPr>
          <w:rStyle w:val="Revised"/>
        </w:rPr>
        <w:t xml:space="preserve">All events at the baseline meet were scored with the implement- and hurdle-specific norms for the athlete’s sex and age and the table’s own formulas (Supplementary Methods S-M3).</w:t>
      </w:r>
      <w:r>
        <w:t xml:space="preserve"> </w:t>
      </w:r>
      <w:r>
        <w:t xml:space="preserve">We computed tyrving_best (baseline maximum), tyrving_peak_pre15, and per-age scores (yielding a baseline performance trajectory, age-14 minus age-13).</w:t>
      </w:r>
    </w:p>
    <w:bookmarkEnd w:id="19"/>
    <w:bookmarkStart w:id="20" w:name="specialization"/>
    <w:p>
      <w:pPr>
        <w:pStyle w:val="Heading3"/>
      </w:pPr>
      <w:r>
        <w:t xml:space="preserve">2.4.3 Specialization</w:t>
      </w:r>
    </w:p>
    <w:p>
      <w:pPr>
        <w:pStyle w:val="FirstParagraph"/>
      </w:pPr>
      <w:r>
        <w:t xml:space="preserve">For every athlete-year we counted the event categories entered (sprint, middle-distance, long-distance, hurdles, jumps, throws, combined events, race walking, relay) and computed a Herfindahl-Hirschman concentration index,</w:t>
      </w:r>
      <w:r>
        <w:t xml:space="preserve"> </w:t>
      </w:r>
      <m:oMath>
        <m:r>
          <m:t>H</m:t>
        </m:r>
        <m:r>
          <m:t>H</m:t>
        </m:r>
        <m:r>
          <m:t>I</m:t>
        </m:r>
        <m:r>
          <m:rPr>
            <m:sty m:val="p"/>
          </m:rPr>
          <m:t>=</m:t>
        </m:r>
        <m:nary>
          <m:naryPr>
            <m:chr m:val="∑"/>
            <m:limLoc m:val="undOvr"/>
            <m:subHide m:val="off"/>
            <m:supHide m:val="off"/>
          </m:naryPr>
          <m:sub>
            <m:r>
              <m:t>i</m:t>
            </m:r>
            <m:r>
              <m:rPr>
                <m:sty m:val="p"/>
              </m:rPr>
              <m:t>=</m:t>
            </m:r>
            <m:r>
              <m:t>1</m:t>
            </m:r>
          </m:sub>
          <m:sup>
            <m:r>
              <m:t>k</m:t>
            </m:r>
          </m:sup>
          <m:e>
            <m:sSubSup>
              <m:e>
                <m:r>
                  <m:t>s</m:t>
                </m:r>
              </m:e>
              <m:sub>
                <m:r>
                  <m:t>i</m:t>
                </m:r>
              </m:sub>
              <m:sup>
                <m:r>
                  <m:t>2</m:t>
                </m:r>
              </m:sup>
            </m:sSubSup>
          </m:e>
        </m:nary>
      </m:oMath>
      <w:r>
        <w:t xml:space="preserve">, where</w:t>
      </w:r>
      <w:r>
        <w:t xml:space="preserve"> </w:t>
      </w:r>
      <m:oMath>
        <m:sSub>
          <m:e>
            <m:r>
              <m:t>s</m:t>
            </m:r>
          </m:e>
          <m:sub>
            <m:r>
              <m:t>i</m:t>
            </m:r>
          </m:sub>
        </m:sSub>
      </m:oMath>
      <w:r>
        <w:t xml:space="preserve"> </w:t>
      </w:r>
      <w:r>
        <w:t xml:space="preserve">is the share of the athlete’s results in category</w:t>
      </w:r>
      <w:r>
        <w:t xml:space="preserve"> </w:t>
      </w:r>
      <m:oMath>
        <m:r>
          <m:t>i</m:t>
        </m:r>
      </m:oMath>
      <w:r>
        <w:t xml:space="preserve">. HHI ranges from 1/k (fully diversified) to 1 (single category).</w:t>
      </w:r>
      <w:r>
        <w:t xml:space="preserve"> </w:t>
      </w:r>
      <w:r>
        <w:rPr>
          <w:rStyle w:val="Revised"/>
        </w:rPr>
        <w:t xml:space="preserve">The baseline index is computed from results at ages 13–14 only, the window of the volume predictor (combined-event handling: Supplementary Methods S-M8).</w:t>
      </w:r>
      <w:r>
        <w:t xml:space="preserve"> </w:t>
      </w:r>
      <w:r>
        <w:t xml:space="preserve">Categories co-occur unevenly (sprints and hurdles share training demands; throws transfer little); the HHI treats them symmetrically (see the limitations).</w:t>
      </w:r>
    </w:p>
    <w:bookmarkEnd w:id="20"/>
    <w:bookmarkStart w:id="21" w:name="Xcee8e2a7fa75626651cea146d51b2bff03a6673"/>
    <w:p>
      <w:pPr>
        <w:pStyle w:val="Heading3"/>
      </w:pPr>
      <w:r>
        <w:t xml:space="preserve">2.4.4</w:t>
      </w:r>
      <w:r>
        <w:t xml:space="preserve"> </w:t>
      </w:r>
      <w:r>
        <w:rPr>
          <w:rStyle w:val="Revised"/>
        </w:rPr>
        <w:t xml:space="preserve">Competition participation (behavioral markers)</w:t>
      </w:r>
    </w:p>
    <w:p>
      <w:pPr>
        <w:pStyle w:val="FirstParagraph"/>
      </w:pPr>
      <w:r>
        <w:t xml:space="preserve">For each athlete and age-year from 13 to 18 we counted</w:t>
      </w:r>
      <w:r>
        <w:t xml:space="preserve"> </w:t>
      </w:r>
      <w:r>
        <w:rPr>
          <w:rStyle w:val="Revised"/>
        </w:rPr>
        <w:t xml:space="preserve">competition days (vol_age_X: distinct dates with a registered result; the register stores each day of a multi-day meet as a separate meet), called meets for brevity,</w:t>
      </w:r>
      <w:r>
        <w:t xml:space="preserve"> </w:t>
      </w:r>
      <w:r>
        <w:t xml:space="preserve">and total results (res_age_X, which also define active seasons: ≥2 results in a calendar year). Composites: vol_pre_milestone (meets at 13–14), vol_milestone (15–16), their difference, and n_champ_types (championship types before 17). These are observable behavioral markers, not direct measures of motivation or commitment</w:t>
      </w:r>
      <w:r>
        <w:rPr>
          <w:rStyle w:val="Revised"/>
        </w:rPr>
        <w:t xml:space="preserve">; because participation can also decline through injury, another sport, or school constraints, we treat declining participation as a marker of disengagement, not disengagement itself</w:t>
      </w:r>
      <w:r>
        <w:t xml:space="preserve">.</w:t>
      </w:r>
    </w:p>
    <w:bookmarkEnd w:id="21"/>
    <w:bookmarkStart w:id="22" w:name="controls"/>
    <w:p>
      <w:pPr>
        <w:pStyle w:val="Heading3"/>
      </w:pPr>
      <w:r>
        <w:t xml:space="preserve">2.4.5 Controls</w:t>
      </w:r>
    </w:p>
    <w:p>
      <w:pPr>
        <w:pStyle w:val="FirstParagraph"/>
      </w:pPr>
      <w:r>
        <w:t xml:space="preserve">Sex (M/F as registered), birth quarter (Q1–Q4</w:t>
      </w:r>
      <w:r>
        <w:rPr>
          <w:rStyle w:val="Revised"/>
        </w:rPr>
        <w:t xml:space="preserve">; Q1 = January–March, the relatively oldest in the calendar-year age group; unknown for 90 athletes registered without birth date</w:t>
      </w:r>
      <w:r>
        <w:t xml:space="preserve">), baseline region (eastern, mid, or western Norway, by venue</w:t>
      </w:r>
      <w:r>
        <w:rPr>
          <w:rStyle w:val="Revised"/>
        </w:rPr>
        <w:t xml:space="preserve">; Supplementary Methods S-M12</w:t>
      </w:r>
      <w:r>
        <w:t xml:space="preserve">), and club size in the baseline year (</w:t>
      </w:r>
      <w:r>
        <w:rPr>
          <w:rStyle w:val="Revised"/>
        </w:rPr>
        <w:t xml:space="preserve">the number of cohort athletes registered for the athlete’s baseline club that year</w:t>
      </w:r>
      <w:r>
        <w:t xml:space="preserve">).</w:t>
      </w:r>
      <w:r>
        <w:t xml:space="preserve"> </w:t>
      </w:r>
      <w:r>
        <w:rPr>
          <w:rStyle w:val="Revised"/>
        </w:rPr>
        <w:t xml:space="preserve">The 2 athletes without registered sex are excluded from all regression models, which condition on sex (Supplementary Methods S-M3).</w:t>
      </w:r>
    </w:p>
    <w:bookmarkEnd w:id="22"/>
    <w:bookmarkEnd w:id="23"/>
    <w:bookmarkStart w:id="30" w:name="statistical-analysis"/>
    <w:p>
      <w:pPr>
        <w:pStyle w:val="Heading2"/>
      </w:pPr>
      <w:r>
        <w:t xml:space="preserve">2.5 Statistical analysis</w:t>
      </w:r>
    </w:p>
    <w:bookmarkStart w:id="24" w:name="X488782bff4fe2a5f60096609df5827b1de8f26c"/>
    <w:p>
      <w:pPr>
        <w:pStyle w:val="Heading3"/>
      </w:pPr>
      <w:r>
        <w:t xml:space="preserve">2.5.1 Primary analysis: prospective logistic regression</w:t>
      </w:r>
    </w:p>
    <w:p>
      <w:pPr>
        <w:pStyle w:val="FirstParagraph"/>
      </w:pPr>
      <w:r>
        <w:t xml:space="preserve">The principal inferential model is a logistic regression for active senior status using only baseline-window predictors (ages 13–14): sex, baseline Tyrving,</w:t>
      </w:r>
      <w:r>
        <w:t xml:space="preserve"> </w:t>
      </w:r>
      <w:r>
        <w:rPr>
          <w:rStyle w:val="Revised"/>
        </w:rPr>
        <w:t xml:space="preserve">HHI</w:t>
      </w:r>
      <w:r>
        <w:t xml:space="preserve">, and pre-milestone volume, fitted in a nested sequence (L1: sex; L2: + Tyrving; L3: + HHI; L4: + volume) to characterize each variable class’s unique contribution. Continuous covariates were z-standardized (per-SD effects</w:t>
      </w:r>
      <w:r>
        <w:rPr>
          <w:rStyle w:val="Revised"/>
        </w:rPr>
        <w:t xml:space="preserve">; re-estimated within each training fold during cross-validation</w:t>
      </w:r>
      <w:r>
        <w:t xml:space="preserve">), and all nested models were fitted on the fixed L4 complete-case sample.</w:t>
      </w:r>
      <w:r>
        <w:t xml:space="preserve"> </w:t>
      </w:r>
      <w:r>
        <w:rPr>
          <w:rStyle w:val="Revised"/>
        </w:rPr>
        <w:t xml:space="preserve">Discrimination was assessed by stratified 5-fold cross-validation repeated 20 times (CV-AUC with 95% CI; model differences on identical folds), and again with folds grouped by baseline club; calibration slope, calibration-in-the-large, and Brier score used out-of-fold predictions (Supplementary Methods S-M4).</w:t>
      </w:r>
      <w:r>
        <w:t xml:space="preserve"> </w:t>
      </w:r>
      <w:r>
        <w:t xml:space="preserve">Restricting predictors to ages 13–14 keeps the primary estimate unambiguously prospective, avoiding the mechanical zero-volume overlap that post-baseline predictors carry.</w:t>
      </w:r>
    </w:p>
    <w:bookmarkEnd w:id="24"/>
    <w:bookmarkStart w:id="25" w:name="structural-controls"/>
    <w:p>
      <w:pPr>
        <w:pStyle w:val="Heading3"/>
      </w:pPr>
      <w:r>
        <w:t xml:space="preserve">2.5.2 Structural controls</w:t>
      </w:r>
    </w:p>
    <w:p>
      <w:pPr>
        <w:pStyle w:val="FirstParagraph"/>
      </w:pPr>
      <w:r>
        <w:t xml:space="preserve">The full model was refit adding region, birth-quarter indicators (Q1, Q4</w:t>
      </w:r>
      <w:r>
        <w:rPr>
          <w:rStyle w:val="Revised"/>
        </w:rPr>
        <w:t xml:space="preserve">, the relative-age extremes</w:t>
      </w:r>
      <w:r>
        <w:rPr>
          <w:rStyle w:val="Revised"/>
          <w:vertAlign w:val="superscript"/>
        </w:rPr>
        <w:t xml:space="preserve">15</w:t>
      </w:r>
      <w:r>
        <w:rPr>
          <w:rStyle w:val="Revised"/>
        </w:rPr>
        <w:t xml:space="preserve">; full coding as sensitivity</w:t>
      </w:r>
      <w:r>
        <w:t xml:space="preserve">), and standardized club size, comparing the stability of the volume coefficient with and without controls (Supplementary Table S13).</w:t>
      </w:r>
    </w:p>
    <w:bookmarkEnd w:id="25"/>
    <w:bookmarkStart w:id="26" w:name="Xc4b29e7a8b9f4c885fc9cf72e1f8d2df8be06b4"/>
    <w:p>
      <w:pPr>
        <w:pStyle w:val="Heading3"/>
      </w:pPr>
      <w:r>
        <w:t xml:space="preserve">2.5.3</w:t>
      </w:r>
      <w:r>
        <w:t xml:space="preserve"> </w:t>
      </w:r>
      <w:r>
        <w:rPr>
          <w:rStyle w:val="Revised"/>
        </w:rPr>
        <w:t xml:space="preserve">Level, change, and within-athlete decline before exit</w:t>
      </w:r>
    </w:p>
    <w:p>
      <w:pPr>
        <w:pStyle w:val="FirstParagraph"/>
      </w:pPr>
      <w:r>
        <w:t xml:space="preserve">To disentangle early behavioral heterogeneity from</w:t>
      </w:r>
      <w:r>
        <w:t xml:space="preserve"> </w:t>
      </w:r>
      <w:r>
        <w:rPr>
          <w:rStyle w:val="Revised"/>
        </w:rPr>
        <w:t xml:space="preserve">within-athlete decline</w:t>
      </w:r>
      <w:r>
        <w:t xml:space="preserve">, we fit a logistic regression on athletes still active at age 14 (</w:t>
      </w:r>
      <w:r>
        <w:rPr>
          <w:rStyle w:val="Revised"/>
        </w:rPr>
        <w:t xml:space="preserve">1,926</w:t>
      </w:r>
      <w:r>
        <w:t xml:space="preserve">; complete-case model n =</w:t>
      </w:r>
      <w:r>
        <w:t xml:space="preserve"> </w:t>
      </w:r>
      <w:r>
        <w:rPr>
          <w:rStyle w:val="Revised"/>
        </w:rPr>
        <w:t xml:space="preserve">1,925</w:t>
      </w:r>
      <w:r>
        <w:t xml:space="preserve">) including both the volume level at age 14 and the change from 14 to 15 (Table 4</w:t>
      </w:r>
      <w:r>
        <w:rPr>
          <w:rStyle w:val="Revised"/>
        </w:rPr>
        <w:t xml:space="preserve">; change = later minus earlier volume, so OR &gt; 1 per SD means that decline predicts lower retention</w:t>
      </w:r>
      <w:r>
        <w:t xml:space="preserve">). Because a change score can span the exit itself,</w:t>
      </w:r>
      <w:r>
        <w:t xml:space="preserve"> </w:t>
      </w:r>
      <w:r>
        <w:rPr>
          <w:rStyle w:val="Revised"/>
        </w:rPr>
        <w:t xml:space="preserve">three</w:t>
      </w:r>
      <w:r>
        <w:t xml:space="preserve"> </w:t>
      </w:r>
      <w:r>
        <w:t xml:space="preserve">analyses probe the within-athlete claim directly: exit-aligned trajectories (volume one to three seasons before each dropout’s own final active season), a contamination-free change model among athletes still active at 16 (level at 15 plus change 15→16 predicting senior status; Supplementary Table S19)</w:t>
      </w:r>
      <w:r>
        <w:rPr>
          <w:rStyle w:val="Revised"/>
        </w:rPr>
        <w:t xml:space="preserve">, and an athlete fixed-effects model of log(1 + meets) at ages 13–19, with age fixed effects and indicators for the final active season and the three preceding seasons, which estimates each athlete’s decline relative to their own earlier volume (Supplementary Methods S-M6)</w:t>
      </w:r>
      <w:r>
        <w:t xml:space="preserve">. Prospective early-warning thresholds on pre-milestone volume (classification performance at candidate cut-offs at the end of the age-14 season, with bootstrap CIs) are reported in Table 6</w:t>
      </w:r>
      <w:r>
        <w:rPr>
          <w:rStyle w:val="Revised"/>
        </w:rPr>
        <w:t xml:space="preserve">, with cut-offs also derived in one birth cohort and tested in the other (Supplementary Table S29)</w:t>
      </w:r>
      <w:r>
        <w:t xml:space="preserve">.</w:t>
      </w:r>
    </w:p>
    <w:bookmarkEnd w:id="26"/>
    <w:bookmarkStart w:id="27" w:name="X7439450477d30e4eede84f2423a577a00bb0c32"/>
    <w:p>
      <w:pPr>
        <w:pStyle w:val="Heading3"/>
      </w:pPr>
      <w:r>
        <w:t xml:space="preserve">2.5.4 Time-to-cessation survival analysis (secondary)</w:t>
      </w:r>
    </w:p>
    <w:p>
      <w:pPr>
        <w:pStyle w:val="FirstParagraph"/>
      </w:pPr>
      <w:r>
        <w:t xml:space="preserve">Time to the last active season was modeled with Cox proportional hazards regression,</w:t>
      </w:r>
      <w:r>
        <w:rPr>
          <w:vertAlign w:val="superscript"/>
        </w:rPr>
        <w:t xml:space="preserve">28</w:t>
      </w:r>
      <w:r>
        <w:t xml:space="preserve"> </w:t>
      </w:r>
      <w:r>
        <w:t xml:space="preserve">with a baseline-only primary specification</w:t>
      </w:r>
      <w:r>
        <w:t xml:space="preserve"> </w:t>
      </w:r>
      <w:r>
        <w:rPr>
          <w:rStyle w:val="Revised"/>
        </w:rPr>
        <w:t xml:space="preserve">whose clock starts at the end of the age-14 season, when the predictor window closes</w:t>
      </w:r>
      <w:r>
        <w:t xml:space="preserve"> </w:t>
      </w:r>
      <w:r>
        <w:t xml:space="preserve">(Supplementary</w:t>
      </w:r>
      <w:r>
        <w:t xml:space="preserve"> </w:t>
      </w:r>
      <w:r>
        <w:rPr>
          <w:rStyle w:val="Revised"/>
        </w:rPr>
        <w:t xml:space="preserve">Tables S10 and</w:t>
      </w:r>
      <w:r>
        <w:t xml:space="preserve"> </w:t>
      </w:r>
      <w:r>
        <w:t xml:space="preserve">S16),</w:t>
      </w:r>
      <w:r>
        <w:t xml:space="preserve"> </w:t>
      </w:r>
      <w:r>
        <w:rPr>
          <w:rStyle w:val="Revised"/>
        </w:rPr>
        <w:t xml:space="preserve">a landmark analysis</w:t>
      </w:r>
      <w:r>
        <w:rPr>
          <w:rStyle w:val="Revised"/>
          <w:vertAlign w:val="superscript"/>
        </w:rPr>
        <w:t xml:space="preserve">29</w:t>
      </w:r>
      <w:r>
        <w:rPr>
          <w:rStyle w:val="Revised"/>
        </w:rPr>
        <w:t xml:space="preserve"> </w:t>
      </w:r>
      <w:r>
        <w:rPr>
          <w:rStyle w:val="Revised"/>
        </w:rPr>
        <w:t xml:space="preserve">among athletes still in their career at age 16 (final active season at 16 or later; Supplementary Table S8)</w:t>
      </w:r>
      <w:r>
        <w:t xml:space="preserve">, and a post-baseline specification interpreted with overlap caveats (Table 5).</w:t>
      </w:r>
      <w:r>
        <w:t xml:space="preserve"> </w:t>
      </w:r>
      <w:r>
        <w:rPr>
          <w:rStyle w:val="Revised"/>
        </w:rPr>
        <w:t xml:space="preserve">Temporary gaps followed by a return are not events; definitions ending the spell at the first two-season gap or the first inactive season are reported in Supplementary Table S30.</w:t>
      </w:r>
      <w:r>
        <w:t xml:space="preserve"> </w:t>
      </w:r>
      <w:r>
        <w:t xml:space="preserve">Proportional-hazards checks, E-values,</w:t>
      </w:r>
      <w:r>
        <w:rPr>
          <w:vertAlign w:val="superscript"/>
        </w:rPr>
        <w:t xml:space="preserve">30</w:t>
      </w:r>
      <w:r>
        <w:t xml:space="preserve"> </w:t>
      </w:r>
      <w:r>
        <w:t xml:space="preserve">cluster-robust errors, and period- and sex-specific estimates are in the Supplementary Methods; hazard ratios are descriptive, not causal.</w:t>
      </w:r>
    </w:p>
    <w:bookmarkEnd w:id="27"/>
    <w:bookmarkStart w:id="28" w:name="X8ce1b591ead7cd3785f327f0e1d82b5cbd9c8e1"/>
    <w:p>
      <w:pPr>
        <w:pStyle w:val="Heading3"/>
      </w:pPr>
      <w:r>
        <w:t xml:space="preserve">2.5.5 Sample size, missing data, and</w:t>
      </w:r>
      <w:r>
        <w:t xml:space="preserve"> </w:t>
      </w:r>
      <w:r>
        <w:rPr>
          <w:rStyle w:val="Revised"/>
        </w:rPr>
        <w:t xml:space="preserve">internal cohort replication</w:t>
      </w:r>
    </w:p>
    <w:p>
      <w:pPr>
        <w:pStyle w:val="FirstParagraph"/>
      </w:pPr>
      <w:r>
        <w:rPr>
          <w:rStyle w:val="Revised"/>
        </w:rPr>
        <w:t xml:space="preserve">Because the full eligible population is observed, a detection-capacity analysis replaces a-priori power: the design could detect hazard ratios ≥1.07 and odds ratios ≥1.20 per SD (Supplementary Table S4), below typical effects in prior dropout research.</w:t>
      </w:r>
      <w:r>
        <w:rPr>
          <w:rStyle w:val="Revised"/>
          <w:vertAlign w:val="superscript"/>
        </w:rPr>
        <w:t xml:space="preserve">23</w:t>
      </w:r>
      <w:r>
        <w:t xml:space="preserve"> </w:t>
      </w:r>
      <w:r>
        <w:rPr>
          <w:rStyle w:val="Revised"/>
        </w:rPr>
        <w:t xml:space="preserve">Baseline Tyrving was missing for 2 athletes (0.1%), both without registered sex; other variables were complete. The primary analysis is complete-case (n = 2,136), with multiple imputation (m = 20; Supplementary Methods S-M3) as sensitivity analysis (Supplementary Table S21; sample flow: Supplementary Table S12).</w:t>
      </w:r>
      <w:r>
        <w:t xml:space="preserve"> </w:t>
      </w:r>
      <w:r>
        <w:t xml:space="preserve">Club-level confounding was probed via the intraclass correlation of volume across baseline clubs</w:t>
      </w:r>
      <w:r>
        <w:rPr>
          <w:rStyle w:val="Revised"/>
        </w:rPr>
        <w:t xml:space="preserve">, club-clustered standard errors, a population-averaged model,</w:t>
      </w:r>
      <w:r>
        <w:t xml:space="preserve"> </w:t>
      </w:r>
      <w:r>
        <w:t xml:space="preserve">and a refit with club random intercepts (Supplementary Table S22). The primary and secondary models were re-estimated separately by birth cohort</w:t>
      </w:r>
      <w:r>
        <w:rPr>
          <w:rStyle w:val="Revised"/>
        </w:rPr>
        <w:t xml:space="preserve">, an internal replication within one register and national system</w:t>
      </w:r>
      <w:r>
        <w:t xml:space="preserve">.</w:t>
      </w:r>
    </w:p>
    <w:bookmarkEnd w:id="28"/>
    <w:bookmarkStart w:id="29" w:name="software"/>
    <w:p>
      <w:pPr>
        <w:pStyle w:val="Heading3"/>
      </w:pPr>
      <w:r>
        <w:t xml:space="preserve">2.5.6 Software</w:t>
      </w:r>
    </w:p>
    <w:p>
      <w:pPr>
        <w:pStyle w:val="FirstParagraph"/>
      </w:pPr>
      <w:r>
        <w:t xml:space="preserve">Analyses used Python 3.13 with lifelines</w:t>
      </w:r>
      <w:r>
        <w:rPr>
          <w:vertAlign w:val="superscript"/>
        </w:rPr>
        <w:t xml:space="preserve">31</w:t>
      </w:r>
      <w:r>
        <w:t xml:space="preserve"> </w:t>
      </w:r>
      <w:r>
        <w:t xml:space="preserve">and scikit-learn</w:t>
      </w:r>
      <w:r>
        <w:rPr>
          <w:vertAlign w:val="superscript"/>
        </w:rPr>
        <w:t xml:space="preserve">32</w:t>
      </w:r>
      <w:r>
        <w:t xml:space="preserve">; figures used matplotlib.</w:t>
      </w:r>
      <w:r>
        <w:rPr>
          <w:vertAlign w:val="superscript"/>
        </w:rPr>
        <w:t xml:space="preserve">33</w:t>
      </w:r>
      <w:r>
        <w:t xml:space="preserve"> </w:t>
      </w:r>
      <w:r>
        <w:t xml:space="preserve">All stochastic steps used fixed random seeds; exact package versions accompany the code, to be deposited in a public repository upon acceptance. Data availability is described in Section 2.7.</w:t>
      </w:r>
    </w:p>
    <w:bookmarkEnd w:id="29"/>
    <w:bookmarkEnd w:id="30"/>
    <w:bookmarkStart w:id="31" w:name="sex-and-gender"/>
    <w:p>
      <w:pPr>
        <w:pStyle w:val="Heading2"/>
      </w:pPr>
      <w:r>
        <w:t xml:space="preserve">2.6 Sex and gender</w:t>
      </w:r>
    </w:p>
    <w:p>
      <w:pPr>
        <w:pStyle w:val="FirstParagraph"/>
      </w:pPr>
      <w:r>
        <w:t xml:space="preserve">Following SAGER guidance,</w:t>
      </w:r>
      <w:r>
        <w:rPr>
          <w:vertAlign w:val="superscript"/>
        </w:rPr>
        <w:t xml:space="preserve">34</w:t>
      </w:r>
      <w:r>
        <w:t xml:space="preserve"> </w:t>
      </w:r>
      <w:r>
        <w:t xml:space="preserve">all primary analyses include sex as a covariate, with sex-stratified analyses in Supplementary Table S7;</w:t>
      </w:r>
      <w:r>
        <w:t xml:space="preserve"> </w:t>
      </w:r>
      <w:r>
        <w:t xml:space="preserve">“sex”</w:t>
      </w:r>
      <w:r>
        <w:t xml:space="preserve"> </w:t>
      </w:r>
      <w:r>
        <w:t xml:space="preserve">reflects the federation’s binary registration variable; the register holds no gender-identity information.</w:t>
      </w:r>
    </w:p>
    <w:bookmarkEnd w:id="31"/>
    <w:bookmarkStart w:id="32" w:name="ethics"/>
    <w:p>
      <w:pPr>
        <w:pStyle w:val="Heading2"/>
      </w:pPr>
      <w:r>
        <w:t xml:space="preserve">2.7 Ethics</w:t>
      </w:r>
    </w:p>
    <w:p>
      <w:pPr>
        <w:pStyle w:val="FirstParagraph"/>
      </w:pPr>
      <w:r>
        <w:t xml:space="preserve">The competition records analyzed are publicly accessible via the Norwegian Athletics Federation’s online register; the derived dataset links them to dates of birth and is therefore not redistributed (GDPR). No personally identifying information appears in this manuscript. Norway’s Health Research Act (Helseforskningsloven §4) exempts secondary use of register data of this kind from formal approval by a Regional Committee for Medical and Health Research Ethics. This exemption concerns the research use of the register; it does not extend to operational uses of similar data by sport organizations, which would require their own legal basis (see Section 4.8).</w:t>
      </w:r>
    </w:p>
    <w:p>
      <w:r>
        <w:pict>
          <v:rect style="width:0;height:1.5pt" o:hralign="center" o:hrstd="t" o:hr="t"/>
        </w:pict>
      </w:r>
    </w:p>
    <w:bookmarkEnd w:id="32"/>
    <w:bookmarkStart w:id="33" w:name="results"/>
    <w:p>
      <w:pPr>
        <w:pStyle w:val="Heading2"/>
      </w:pPr>
      <w:r>
        <w:t xml:space="preserve">3. Results</w:t>
      </w:r>
    </w:p>
    <w:bookmarkEnd w:id="33"/>
    <w:bookmarkStart w:id="34" w:name="cohort-characteristics"/>
    <w:p>
      <w:pPr>
        <w:pStyle w:val="Heading2"/>
      </w:pPr>
      <w:r>
        <w:t xml:space="preserve">3.1 Cohort characteristics</w:t>
      </w:r>
    </w:p>
    <w:p>
      <w:pPr>
        <w:pStyle w:val="FirstParagraph"/>
      </w:pPr>
      <w:r>
        <w:t xml:space="preserve">The cohort comprised</w:t>
      </w:r>
      <w:r>
        <w:t xml:space="preserve"> </w:t>
      </w:r>
      <w:r>
        <w:rPr>
          <w:rStyle w:val="Revised"/>
        </w:rPr>
        <w:t xml:space="preserve">2,138</w:t>
      </w:r>
      <w:r>
        <w:t xml:space="preserve"> </w:t>
      </w:r>
      <w:r>
        <w:t xml:space="preserve">athletes (</w:t>
      </w:r>
      <w:r>
        <w:rPr>
          <w:rStyle w:val="Revised"/>
        </w:rPr>
        <w:t xml:space="preserve">52.9%</w:t>
      </w:r>
      <w:r>
        <w:t xml:space="preserve"> </w:t>
      </w:r>
      <w:r>
        <w:t xml:space="preserve">female):</w:t>
      </w:r>
      <w:r>
        <w:t xml:space="preserve"> </w:t>
      </w:r>
      <w:r>
        <w:rPr>
          <w:rStyle w:val="Revised"/>
        </w:rPr>
        <w:t xml:space="preserve">1,309</w:t>
      </w:r>
      <w:r>
        <w:t xml:space="preserve"> </w:t>
      </w:r>
      <w:r>
        <w:t xml:space="preserve">in Cohort A and</w:t>
      </w:r>
      <w:r>
        <w:t xml:space="preserve"> </w:t>
      </w:r>
      <w:r>
        <w:rPr>
          <w:rStyle w:val="Revised"/>
        </w:rPr>
        <w:t xml:space="preserve">829</w:t>
      </w:r>
      <w:r>
        <w:t xml:space="preserve"> </w:t>
      </w:r>
      <w:r>
        <w:t xml:space="preserve">in Cohort B, closely matched at baseline (mean Tyrving</w:t>
      </w:r>
      <w:r>
        <w:t xml:space="preserve"> </w:t>
      </w:r>
      <w:r>
        <w:rPr>
          <w:rStyle w:val="Revised"/>
        </w:rPr>
        <w:t xml:space="preserve">816 and 836</w:t>
      </w:r>
      <w:r>
        <w:t xml:space="preserve"> </w:t>
      </w:r>
      <w:r>
        <w:t xml:space="preserve">and ~41% active at 17 in each; Table 1). Senior retention (≥1 season with ≥2 results at age 20+) was 15.8% in Cohort A and</w:t>
      </w:r>
      <w:r>
        <w:t xml:space="preserve"> </w:t>
      </w:r>
      <w:r>
        <w:rPr>
          <w:rStyle w:val="Revised"/>
        </w:rPr>
        <w:t xml:space="preserve">17.0%</w:t>
      </w:r>
      <w:r>
        <w:t xml:space="preserve"> </w:t>
      </w:r>
      <w:r>
        <w:t xml:space="preserve">in Cohort B (combined</w:t>
      </w:r>
      <w:r>
        <w:t xml:space="preserve"> </w:t>
      </w:r>
      <w:r>
        <w:rPr>
          <w:rStyle w:val="Revised"/>
        </w:rPr>
        <w:t xml:space="preserve">16.3%</w:t>
      </w:r>
      <w:r>
        <w:t xml:space="preserve">). The proportion still active in 2024+ was</w:t>
      </w:r>
      <w:r>
        <w:t xml:space="preserve"> </w:t>
      </w:r>
      <w:r>
        <w:rPr>
          <w:rStyle w:val="Revised"/>
        </w:rPr>
        <w:t xml:space="preserve">5.7%</w:t>
      </w:r>
      <w:r>
        <w:t xml:space="preserve"> </w:t>
      </w:r>
      <w:r>
        <w:t xml:space="preserve">(A) and</w:t>
      </w:r>
      <w:r>
        <w:t xml:space="preserve"> </w:t>
      </w:r>
      <w:r>
        <w:rPr>
          <w:rStyle w:val="Revised"/>
        </w:rPr>
        <w:t xml:space="preserve">10.5%</w:t>
      </w:r>
      <w:r>
        <w:t xml:space="preserve"> </w:t>
      </w:r>
      <w:r>
        <w:t xml:space="preserve">(B), reflecting Cohort B’s shorter follow-up (fixed-window outcome at ages 20–22: 15.3% vs</w:t>
      </w:r>
      <w:r>
        <w:t xml:space="preserve"> </w:t>
      </w:r>
      <w:r>
        <w:rPr>
          <w:rStyle w:val="Revised"/>
        </w:rPr>
        <w:t xml:space="preserve">16.5%</w:t>
      </w:r>
      <w:r>
        <w:t xml:space="preserve">; Supplementary Table S24).</w:t>
      </w:r>
      <w:r>
        <w:t xml:space="preserve"> </w:t>
      </w:r>
      <w:r>
        <w:rPr>
          <w:rStyle w:val="Revised"/>
        </w:rPr>
        <w:t xml:space="preserve">Of all 7,266 register athletes born 1998–2002 with a result at ages 13–14, the cohort is 29%, but it contains 80% of those with ten or more meets at those ages and 80% of all who later competed as seniors; the others had a median of 2 meets and 1.7% senior retention (Supplementary Table S31).</w:t>
      </w:r>
    </w:p>
    <w:p>
      <w:pPr>
        <w:pStyle w:val="BodyText"/>
      </w:pPr>
      <w:r>
        <w:t xml:space="preserve">[</w:t>
      </w:r>
      <w:r>
        <w:rPr>
          <w:b/>
          <w:bCs/>
        </w:rPr>
        <w:t xml:space="preserve">Table 1 about here</w:t>
      </w:r>
      <w:r>
        <w:t xml:space="preserve">]</w:t>
      </w:r>
    </w:p>
    <w:bookmarkEnd w:id="34"/>
    <w:bookmarkStart w:id="35" w:name="Xa6dbd7296096ed2e92b02c3b07fa844b570a02d"/>
    <w:p>
      <w:pPr>
        <w:pStyle w:val="Heading2"/>
      </w:pPr>
      <w:r>
        <w:t xml:space="preserve">3.2 Competition-volume trajectories diverge by ages 13–14</w:t>
      </w:r>
    </w:p>
    <w:p>
      <w:pPr>
        <w:pStyle w:val="FirstParagraph"/>
      </w:pPr>
      <w:r>
        <w:t xml:space="preserve">Figure 2 presents the central behavioral observation (Figure 1 shows the conceptual model): median competitions per year by age</w:t>
      </w:r>
      <w:r>
        <w:t xml:space="preserve"> </w:t>
      </w:r>
      <w:r>
        <w:rPr>
          <w:rStyle w:val="Revised"/>
        </w:rPr>
        <w:t xml:space="preserve">(Table 2)</w:t>
      </w:r>
      <w:r>
        <w:t xml:space="preserve">, plotted separately for eventual retainers (n = 348) and non-retainers (n =</w:t>
      </w:r>
      <w:r>
        <w:t xml:space="preserve"> </w:t>
      </w:r>
      <w:r>
        <w:rPr>
          <w:rStyle w:val="Revised"/>
        </w:rPr>
        <w:t xml:space="preserve">1,790</w:t>
      </w:r>
      <w:r>
        <w:t xml:space="preserve">). The groups already differ at baseline (medians of 13 vs. 8 meets at age 13, and</w:t>
      </w:r>
      <w:r>
        <w:t xml:space="preserve"> </w:t>
      </w:r>
      <w:r>
        <w:rPr>
          <w:rStyle w:val="Revised"/>
        </w:rPr>
        <w:t xml:space="preserve">16.5</w:t>
      </w:r>
      <w:r>
        <w:t xml:space="preserve"> </w:t>
      </w:r>
      <w:r>
        <w:t xml:space="preserve">vs. 8 at age 14), and from age 15 they diverge sharply: retainers peak at 19 meets and sustain that level through 17, while future dropouts fall from 8 to 3 to 0. Baseline differences and within-athlete</w:t>
      </w:r>
      <w:r>
        <w:t xml:space="preserve"> </w:t>
      </w:r>
      <w:r>
        <w:rPr>
          <w:rStyle w:val="Revised"/>
        </w:rPr>
        <w:t xml:space="preserve">decline</w:t>
      </w:r>
      <w:r>
        <w:t xml:space="preserve"> </w:t>
      </w:r>
      <w:r>
        <w:t xml:space="preserve">are separated formally in Section 3.5.</w:t>
      </w:r>
    </w:p>
    <w:p>
      <w:pPr>
        <w:pStyle w:val="BodyText"/>
      </w:pPr>
      <w:r>
        <w:t xml:space="preserve">Kaplan–Meier curves summarize the attrition: half the cohort</w:t>
      </w:r>
      <w:r>
        <w:t xml:space="preserve"> </w:t>
      </w:r>
      <w:r>
        <w:rPr>
          <w:rStyle w:val="Revised"/>
        </w:rPr>
        <w:t xml:space="preserve">had its final active season within 2 years of baseline and 79% within 5; the annual exit rate was 22–24% at ages 14–17 and peaked at 18–19 (28%), the first junior years</w:t>
      </w:r>
      <w:r>
        <w:t xml:space="preserve"> </w:t>
      </w:r>
      <w:r>
        <w:t xml:space="preserve">(Supplementary Figure S2); sex-stratified curves overlap (log-rank</w:t>
      </w:r>
      <w:r>
        <w:t xml:space="preserve"> </w:t>
      </w:r>
      <w:r>
        <w:rPr>
          <w:i/>
          <w:iCs/>
        </w:rPr>
        <w:t xml:space="preserve">p</w:t>
      </w:r>
      <w:r>
        <w:t xml:space="preserve"> </w:t>
      </w:r>
      <w:r>
        <w:t xml:space="preserve">=</w:t>
      </w:r>
      <w:r>
        <w:t xml:space="preserve"> </w:t>
      </w:r>
      <w:r>
        <w:rPr>
          <w:rStyle w:val="Revised"/>
        </w:rPr>
        <w:t xml:space="preserve">.42</w:t>
      </w:r>
      <w:r>
        <w:t xml:space="preserve">).</w:t>
      </w:r>
      <w:r>
        <w:t xml:space="preserve"> </w:t>
      </w:r>
      <w:r>
        <w:rPr>
          <w:rStyle w:val="Revised"/>
        </w:rPr>
        <w:t xml:space="preserve">Descriptively, curves by ages-15–16 volume separate monotonically (50% senior retention with ≥31 meets vs. 0.8% with none; Figure 3), as do curves by pre-17 championship types (Supplementary Figure S3).</w:t>
      </w:r>
    </w:p>
    <w:p>
      <w:pPr>
        <w:pStyle w:val="BodyText"/>
      </w:pPr>
      <w:r>
        <w:t xml:space="preserve">[</w:t>
      </w:r>
      <w:r>
        <w:rPr>
          <w:b/>
          <w:bCs/>
        </w:rPr>
        <w:t xml:space="preserve">Figures 1 and 2 about here</w:t>
      </w:r>
      <w:r>
        <w:t xml:space="preserve">]</w:t>
      </w:r>
    </w:p>
    <w:p>
      <w:pPr>
        <w:pStyle w:val="BodyText"/>
      </w:pPr>
      <w:r>
        <w:t xml:space="preserve">[</w:t>
      </w:r>
      <w:r>
        <w:rPr>
          <w:b/>
          <w:bCs/>
        </w:rPr>
        <w:t xml:space="preserve">Table 2 about here</w:t>
      </w:r>
      <w:r>
        <w:t xml:space="preserve">]</w:t>
      </w:r>
    </w:p>
    <w:p>
      <w:pPr>
        <w:pStyle w:val="BodyText"/>
      </w:pPr>
      <w:r>
        <w:t xml:space="preserve">[</w:t>
      </w:r>
      <w:r>
        <w:rPr>
          <w:b/>
          <w:bCs/>
        </w:rPr>
        <w:t xml:space="preserve">Figure 3 about here</w:t>
      </w:r>
      <w:r>
        <w:t xml:space="preserve">]</w:t>
      </w:r>
    </w:p>
    <w:bookmarkEnd w:id="35"/>
    <w:bookmarkStart w:id="36" w:name="X212fbb144b357bbb65ca9c20fb99d6d52021b1e"/>
    <w:p>
      <w:pPr>
        <w:pStyle w:val="Heading2"/>
      </w:pPr>
      <w:r>
        <w:t xml:space="preserve">3.3 Primary analysis: prospective logistic regression for senior retention</w:t>
      </w:r>
    </w:p>
    <w:p>
      <w:pPr>
        <w:pStyle w:val="FirstParagraph"/>
      </w:pPr>
      <w:r>
        <w:rPr>
          <w:b/>
          <w:bCs/>
        </w:rPr>
        <w:t xml:space="preserve">Among baseline-window predictors (ages 13–14), competition volume</w:t>
      </w:r>
      <w:r>
        <w:rPr>
          <w:b/>
          <w:bCs/>
        </w:rPr>
        <w:t xml:space="preserve"> </w:t>
      </w:r>
      <w:r>
        <w:rPr>
          <w:rStyle w:val="Revised"/>
          <w:b/>
          <w:bCs/>
        </w:rPr>
        <w:t xml:space="preserve">was the strongest predictor and made the largest unique</w:t>
      </w:r>
      <w:r>
        <w:rPr>
          <w:b/>
          <w:bCs/>
        </w:rPr>
        <w:t xml:space="preserve"> </w:t>
      </w:r>
      <w:r>
        <w:rPr>
          <w:b/>
          <w:bCs/>
        </w:rPr>
        <w:t xml:space="preserve">contribution to prospective discrimination of senior retention 6–14 years later: OR =</w:t>
      </w:r>
      <w:r>
        <w:rPr>
          <w:b/>
          <w:bCs/>
        </w:rPr>
        <w:t xml:space="preserve"> </w:t>
      </w:r>
      <w:r>
        <w:rPr>
          <w:rStyle w:val="Revised"/>
          <w:b/>
          <w:bCs/>
        </w:rPr>
        <w:t xml:space="preserve">2.04</w:t>
      </w:r>
      <w:r>
        <w:rPr>
          <w:b/>
          <w:bCs/>
        </w:rPr>
        <w:t xml:space="preserve"> </w:t>
      </w:r>
      <w:r>
        <w:rPr>
          <w:b/>
          <w:bCs/>
        </w:rPr>
        <w:t xml:space="preserve">per SD (95% CI</w:t>
      </w:r>
      <w:r>
        <w:rPr>
          <w:b/>
          <w:bCs/>
        </w:rPr>
        <w:t xml:space="preserve"> </w:t>
      </w:r>
      <w:r>
        <w:rPr>
          <w:rStyle w:val="Revised"/>
          <w:b/>
          <w:bCs/>
        </w:rPr>
        <w:t xml:space="preserve">[1.80, 2.32]</w:t>
      </w:r>
      <w:r>
        <w:rPr>
          <w:b/>
          <w:bCs/>
        </w:rPr>
        <w:t xml:space="preserve">,</w:t>
      </w:r>
      <w:r>
        <w:rPr>
          <w:b/>
          <w:bCs/>
        </w:rPr>
        <w:t xml:space="preserve"> </w:t>
      </w:r>
      <w:r>
        <w:rPr>
          <w:b/>
          <w:bCs/>
          <w:i/>
          <w:iCs/>
        </w:rPr>
        <w:t xml:space="preserve">p</w:t>
      </w:r>
      <w:r>
        <w:rPr>
          <w:b/>
          <w:bCs/>
        </w:rPr>
        <w:t xml:space="preserve"> </w:t>
      </w:r>
      <w:r>
        <w:rPr>
          <w:b/>
          <w:bCs/>
        </w:rPr>
        <w:t xml:space="preserve">&lt; .001), cross-validated AUC =</w:t>
      </w:r>
      <w:r>
        <w:rPr>
          <w:b/>
          <w:bCs/>
        </w:rPr>
        <w:t xml:space="preserve"> </w:t>
      </w:r>
      <w:r>
        <w:rPr>
          <w:rStyle w:val="Revised"/>
          <w:b/>
          <w:bCs/>
        </w:rPr>
        <w:t xml:space="preserve">0.767 (95% CI 0.737–0.797)</w:t>
      </w:r>
      <w:r>
        <w:rPr>
          <w:b/>
          <w:bCs/>
        </w:rPr>
        <w:t xml:space="preserve">.</w:t>
      </w:r>
      <w:r>
        <w:t xml:space="preserve"> </w:t>
      </w:r>
      <w:r>
        <w:rPr>
          <w:rStyle w:val="Revised"/>
        </w:rPr>
        <w:t xml:space="preserve">In the stepwise models (Table 3), CV-AUC was 0.535 (sex), 0.700 (+ Tyrving), 0.698 (+ HHI), and 0.767 (+ volume; increase 0.069, 95% CI 0.047–0.091; Supplementary Table S27)</w:t>
      </w:r>
      <w:r>
        <w:t xml:space="preserve">, with well-calibrated predictions (calibration slope</w:t>
      </w:r>
      <w:r>
        <w:t xml:space="preserve"> </w:t>
      </w:r>
      <w:r>
        <w:rPr>
          <w:rStyle w:val="Revised"/>
        </w:rPr>
        <w:t xml:space="preserve">0.98, calibration-in-the-large 0.00, Brier 0.117</w:t>
      </w:r>
      <w:r>
        <w:t xml:space="preserve">; Supplementary Table S23</w:t>
      </w:r>
      <w:r>
        <w:rPr>
          <w:rStyle w:val="Revised"/>
        </w:rPr>
        <w:t xml:space="preserve">, Supplementary Figure S1</w:t>
      </w:r>
      <w:r>
        <w:t xml:space="preserve">).</w:t>
      </w:r>
      <w:r>
        <w:t xml:space="preserve"> </w:t>
      </w:r>
      <w:r>
        <w:rPr>
          <w:rStyle w:val="Revised"/>
        </w:rPr>
        <w:t xml:space="preserve">Baseline performance was the second, complementary predictor (OR = 1.75 per SD, 95% CI [1.47, 2.08], in the full model); HHI retained a small association once volume was included (OR = 1.18 per SD, 95% CI [1.04, 1.34]; §3.9).</w:t>
      </w:r>
    </w:p>
    <w:p>
      <w:pPr>
        <w:pStyle w:val="BodyText"/>
      </w:pPr>
      <w:r>
        <w:t xml:space="preserve">[</w:t>
      </w:r>
      <w:r>
        <w:rPr>
          <w:b/>
          <w:bCs/>
        </w:rPr>
        <w:t xml:space="preserve">Table 3 about here</w:t>
      </w:r>
      <w:r>
        <w:t xml:space="preserve">]</w:t>
      </w:r>
    </w:p>
    <w:bookmarkEnd w:id="36"/>
    <w:bookmarkStart w:id="37" w:name="Xcf7fb286ca263ede1581eee045f86cefba4829b"/>
    <w:p>
      <w:pPr>
        <w:pStyle w:val="Heading2"/>
      </w:pPr>
      <w:r>
        <w:t xml:space="preserve">3.4 Structural and club-level controls do not change the picture</w:t>
      </w:r>
    </w:p>
    <w:p>
      <w:pPr>
        <w:pStyle w:val="FirstParagraph"/>
      </w:pPr>
      <w:r>
        <w:t xml:space="preserve">Adding region, birth quarter (Q1/Q4), and club size left the volume coefficient</w:t>
      </w:r>
      <w:r>
        <w:t xml:space="preserve"> </w:t>
      </w:r>
      <w:r>
        <w:rPr>
          <w:rStyle w:val="Revised"/>
        </w:rPr>
        <w:t xml:space="preserve">essentially unchanged (OR = 2.07 vs. 2.04). Of these covariates only birth quarter was associated with retention: conditional on performance and volume, relatively younger athletes were retained somewhat more often (linear trend OR = 1.16 per quarter, 95% CI [1.03, 1.31]; Supplementary Table S13)</w:t>
      </w:r>
      <w:r>
        <w:t xml:space="preserve">. A quarter of volume variance lies between clubs (ICC =</w:t>
      </w:r>
      <w:r>
        <w:t xml:space="preserve"> </w:t>
      </w:r>
      <w:r>
        <w:rPr>
          <w:rStyle w:val="Revised"/>
        </w:rPr>
        <w:t xml:space="preserve">0.27, 287</w:t>
      </w:r>
      <w:r>
        <w:t xml:space="preserve"> </w:t>
      </w:r>
      <w:r>
        <w:t xml:space="preserve">clubs), but with club random intercepts the coefficient was, if anything, larger (OR =</w:t>
      </w:r>
      <w:r>
        <w:t xml:space="preserve"> </w:t>
      </w:r>
      <w:r>
        <w:rPr>
          <w:rStyle w:val="Revised"/>
        </w:rPr>
        <w:t xml:space="preserve">2.10</w:t>
      </w:r>
      <w:r>
        <w:t xml:space="preserve">, 95% CI</w:t>
      </w:r>
      <w:r>
        <w:t xml:space="preserve"> </w:t>
      </w:r>
      <w:r>
        <w:rPr>
          <w:rStyle w:val="Revised"/>
        </w:rPr>
        <w:t xml:space="preserve">[1.88, 2.34]; club-clustered standard errors and a population-averaged model gave the same estimate with wider intervals, OR = 2.04 [1.75, 2.39]</w:t>
      </w:r>
      <w:r>
        <w:t xml:space="preserve">; Supplementary Table S22)</w:t>
      </w:r>
      <w:r>
        <w:rPr>
          <w:rStyle w:val="Revised"/>
        </w:rPr>
        <w:t xml:space="preserve">, and folds grouped by club gave the same cross-validated AUC (0.766 [0.735, 0.797]; Supplementary Table S26)</w:t>
      </w:r>
      <w:r>
        <w:t xml:space="preserve">: the association holds within clubs</w:t>
      </w:r>
      <w:r>
        <w:t xml:space="preserve"> </w:t>
      </w:r>
      <w:r>
        <w:rPr>
          <w:rStyle w:val="Revised"/>
        </w:rPr>
        <w:t xml:space="preserve">and carries over to clubs not used for fitting</w:t>
      </w:r>
      <w:r>
        <w:t xml:space="preserve">.</w:t>
      </w:r>
    </w:p>
    <w:bookmarkEnd w:id="37"/>
    <w:bookmarkStart w:id="38" w:name="Xb605678fcb2abceaec1c001a4bcd0f3eaaa0fb1"/>
    <w:p>
      <w:pPr>
        <w:pStyle w:val="Heading2"/>
      </w:pPr>
      <w:r>
        <w:t xml:space="preserve">3.5</w:t>
      </w:r>
      <w:r>
        <w:t xml:space="preserve"> </w:t>
      </w:r>
      <w:r>
        <w:rPr>
          <w:rStyle w:val="Revised"/>
        </w:rPr>
        <w:t xml:space="preserve">Within-athlete decline</w:t>
      </w:r>
      <w:r>
        <w:t xml:space="preserve"> </w:t>
      </w:r>
      <w:r>
        <w:t xml:space="preserve">versus baseline heterogeneity</w:t>
      </w:r>
    </w:p>
    <w:p>
      <w:pPr>
        <w:pStyle w:val="FirstParagraph"/>
      </w:pPr>
      <w:r>
        <w:rPr>
          <w:b/>
          <w:bCs/>
        </w:rPr>
        <w:t xml:space="preserve">Early behavioral heterogeneity and within-athlete</w:t>
      </w:r>
      <w:r>
        <w:rPr>
          <w:b/>
          <w:bCs/>
        </w:rPr>
        <w:t xml:space="preserve"> </w:t>
      </w:r>
      <w:r>
        <w:rPr>
          <w:rStyle w:val="Revised"/>
          <w:b/>
          <w:bCs/>
        </w:rPr>
        <w:t xml:space="preserve">decline</w:t>
      </w:r>
      <w:r>
        <w:rPr>
          <w:b/>
          <w:bCs/>
        </w:rPr>
        <w:t xml:space="preserve"> </w:t>
      </w:r>
      <w:r>
        <w:rPr>
          <w:b/>
          <w:bCs/>
        </w:rPr>
        <w:t xml:space="preserve">contribute independently; they are not substitutes.</w:t>
      </w:r>
      <w:r>
        <w:t xml:space="preserve"> </w:t>
      </w:r>
      <w:r>
        <w:rPr>
          <w:rStyle w:val="Revised"/>
        </w:rPr>
        <w:t xml:space="preserve">Four</w:t>
      </w:r>
      <w:r>
        <w:t xml:space="preserve"> </w:t>
      </w:r>
      <w:r>
        <w:t xml:space="preserve">analyses separate the two readings of Figure 2.</w:t>
      </w:r>
    </w:p>
    <w:p>
      <w:pPr>
        <w:pStyle w:val="BodyText"/>
      </w:pPr>
      <w:r>
        <w:t xml:space="preserve">First, level and change. Among athletes still active at age 14 (</w:t>
      </w:r>
      <w:r>
        <w:rPr>
          <w:rStyle w:val="Revised"/>
        </w:rPr>
        <w:t xml:space="preserve">1,926</w:t>
      </w:r>
      <w:r>
        <w:t xml:space="preserve">; complete-case model n =</w:t>
      </w:r>
      <w:r>
        <w:t xml:space="preserve"> </w:t>
      </w:r>
      <w:r>
        <w:rPr>
          <w:rStyle w:val="Revised"/>
        </w:rPr>
        <w:t xml:space="preserve">1,925</w:t>
      </w:r>
      <w:r>
        <w:t xml:space="preserve">), the age-14 volume level (OR =</w:t>
      </w:r>
      <w:r>
        <w:t xml:space="preserve"> </w:t>
      </w:r>
      <w:r>
        <w:rPr>
          <w:rStyle w:val="Revised"/>
        </w:rPr>
        <w:t xml:space="preserve">2.51</w:t>
      </w:r>
      <w:r>
        <w:t xml:space="preserve"> </w:t>
      </w:r>
      <w:r>
        <w:t xml:space="preserve">per SD, 95% CI</w:t>
      </w:r>
      <w:r>
        <w:t xml:space="preserve"> </w:t>
      </w:r>
      <w:r>
        <w:rPr>
          <w:rStyle w:val="Revised"/>
        </w:rPr>
        <w:t xml:space="preserve">[2.17, 2.89]</w:t>
      </w:r>
      <w:r>
        <w:t xml:space="preserve">) and the change from age 14 to 15 (OR =</w:t>
      </w:r>
      <w:r>
        <w:t xml:space="preserve"> </w:t>
      </w:r>
      <w:r>
        <w:rPr>
          <w:rStyle w:val="Revised"/>
        </w:rPr>
        <w:t xml:space="preserve">2.29 per SD increase</w:t>
      </w:r>
      <w:r>
        <w:t xml:space="preserve">, 95% CI</w:t>
      </w:r>
      <w:r>
        <w:t xml:space="preserve"> </w:t>
      </w:r>
      <w:r>
        <w:rPr>
          <w:rStyle w:val="Revised"/>
        </w:rPr>
        <w:t xml:space="preserve">[2.00, 2.62]; i.e., OR = 0.44 per SD, about 6.4 meets, of decline</w:t>
      </w:r>
      <w:r>
        <w:t xml:space="preserve">) contributed independently (both</w:t>
      </w:r>
      <w:r>
        <w:t xml:space="preserve"> </w:t>
      </w:r>
      <w:r>
        <w:rPr>
          <w:i/>
          <w:iCs/>
        </w:rPr>
        <w:t xml:space="preserve">p</w:t>
      </w:r>
      <w:r>
        <w:t xml:space="preserve"> </w:t>
      </w:r>
      <w:r>
        <w:t xml:space="preserve">&lt; .001); adding change</w:t>
      </w:r>
      <w:r>
        <w:t xml:space="preserve"> </w:t>
      </w:r>
      <w:r>
        <w:rPr>
          <w:rStyle w:val="Revised"/>
        </w:rPr>
        <w:t xml:space="preserve">raised pseudo-</w:t>
      </w:r>
      <w:r>
        <w:rPr>
          <w:rStyle w:val="Revised"/>
          <w:i/>
          <w:iCs/>
        </w:rPr>
        <w:t xml:space="preserve">R</w:t>
      </w:r>
      <w:r>
        <w:rPr>
          <w:rStyle w:val="Revised"/>
        </w:rPr>
        <w:t xml:space="preserve">² from 0.150 to 0.245</w:t>
      </w:r>
      <w:r>
        <w:t xml:space="preserve"> </w:t>
      </w:r>
      <w:r>
        <w:t xml:space="preserve">(Table 4).</w:t>
      </w:r>
    </w:p>
    <w:p>
      <w:pPr>
        <w:pStyle w:val="BodyText"/>
      </w:pPr>
      <w:r>
        <w:t xml:space="preserve">Second, because a change score spanning the exit could conflate</w:t>
      </w:r>
      <w:r>
        <w:t xml:space="preserve"> </w:t>
      </w:r>
      <w:r>
        <w:rPr>
          <w:rStyle w:val="Revised"/>
        </w:rPr>
        <w:t xml:space="preserve">decline</w:t>
      </w:r>
      <w:r>
        <w:t xml:space="preserve"> </w:t>
      </w:r>
      <w:r>
        <w:t xml:space="preserve">with the exit itself, we repeated the test where no exit can contaminate it: among athletes still competing at age 16 (≥2 results; n =</w:t>
      </w:r>
      <w:r>
        <w:t xml:space="preserve"> </w:t>
      </w:r>
      <w:r>
        <w:rPr>
          <w:rStyle w:val="Revised"/>
        </w:rPr>
        <w:t xml:space="preserve">1,088</w:t>
      </w:r>
      <w:r>
        <w:t xml:space="preserve">), volume at 15 (OR = 3.04, 95% CI</w:t>
      </w:r>
      <w:r>
        <w:t xml:space="preserve"> </w:t>
      </w:r>
      <w:r>
        <w:rPr>
          <w:rStyle w:val="Revised"/>
        </w:rPr>
        <w:t xml:space="preserve">[2.56, 3.62]</w:t>
      </w:r>
      <w:r>
        <w:t xml:space="preserve">) and change from 15 to 16 (OR =</w:t>
      </w:r>
      <w:r>
        <w:t xml:space="preserve"> </w:t>
      </w:r>
      <w:r>
        <w:rPr>
          <w:rStyle w:val="Revised"/>
        </w:rPr>
        <w:t xml:space="preserve">1.87</w:t>
      </w:r>
      <w:r>
        <w:t xml:space="preserve"> </w:t>
      </w:r>
      <w:r>
        <w:rPr>
          <w:rStyle w:val="Revised"/>
        </w:rPr>
        <w:t xml:space="preserve">per SD increase</w:t>
      </w:r>
      <w:r>
        <w:t xml:space="preserve">, 95% CI</w:t>
      </w:r>
      <w:r>
        <w:t xml:space="preserve"> </w:t>
      </w:r>
      <w:r>
        <w:rPr>
          <w:rStyle w:val="Revised"/>
        </w:rPr>
        <w:t xml:space="preserve">[1.60, 2.19]</w:t>
      </w:r>
      <w:r>
        <w:rPr>
          <w:rStyle w:val="Revised"/>
        </w:rPr>
        <w:t xml:space="preserve">; 0.54 per SD of decline</w:t>
      </w:r>
      <w:r>
        <w:t xml:space="preserve">; both</w:t>
      </w:r>
      <w:r>
        <w:t xml:space="preserve"> </w:t>
      </w:r>
      <w:r>
        <w:rPr>
          <w:i/>
          <w:iCs/>
        </w:rPr>
        <w:t xml:space="preserve">p</w:t>
      </w:r>
      <w:r>
        <w:t xml:space="preserve"> </w:t>
      </w:r>
      <w:r>
        <w:t xml:space="preserve">&lt; .001) predicted senior status four or more years later (CV-AUC =</w:t>
      </w:r>
      <w:r>
        <w:t xml:space="preserve"> </w:t>
      </w:r>
      <w:r>
        <w:rPr>
          <w:rStyle w:val="Revised"/>
        </w:rPr>
        <w:t xml:space="preserve">0.762</w:t>
      </w:r>
      <w:r>
        <w:t xml:space="preserve">): decline predicts exit among athletes who are all, at measurement, still active.</w:t>
      </w:r>
    </w:p>
    <w:p>
      <w:pPr>
        <w:pStyle w:val="BodyText"/>
      </w:pPr>
      <w:r>
        <w:t xml:space="preserve">Third, exit-aligned trajectories. Aligned to each dropout’s own final active season (n =</w:t>
      </w:r>
      <w:r>
        <w:t xml:space="preserve"> </w:t>
      </w:r>
      <w:r>
        <w:rPr>
          <w:rStyle w:val="Revised"/>
        </w:rPr>
        <w:t xml:space="preserve">1,146</w:t>
      </w:r>
      <w:r>
        <w:t xml:space="preserve"> </w:t>
      </w:r>
      <w:r>
        <w:t xml:space="preserve">with final seasons at ages 15–19), median volumes at T−3, T−2, T−1, and T were 12, 10, 9, and 4 meets</w:t>
      </w:r>
      <w:r>
        <w:rPr>
          <w:rStyle w:val="Revised"/>
        </w:rPr>
        <w:t xml:space="preserve">; 95% were still competing in their penultimate season, and among final seasons at 16+ (n = 800), 74% had a</w:t>
      </w:r>
      <w:r>
        <w:rPr>
          <w:rStyle w:val="Revised"/>
        </w:rPr>
        <w:t xml:space="preserve"> </w:t>
      </w:r>
      <w:r>
        <w:rPr>
          <w:rStyle w:val="Revised"/>
          <w:i/>
          <w:iCs/>
        </w:rPr>
        <w:t xml:space="preserve">reduced-but-nonzero</w:t>
      </w:r>
      <w:r>
        <w:rPr>
          <w:rStyle w:val="Revised"/>
        </w:rPr>
        <w:t xml:space="preserve"> </w:t>
      </w:r>
      <w:r>
        <w:rPr>
          <w:rStyle w:val="Revised"/>
        </w:rPr>
        <w:t xml:space="preserve">penultimate season relative to their earlier peak, 6.5% a gap year, and 20% exited from peak volume (Supplementary Table S19)</w:t>
      </w:r>
      <w:r>
        <w:t xml:space="preserve">.</w:t>
      </w:r>
    </w:p>
    <w:p>
      <w:pPr>
        <w:pStyle w:val="BodyText"/>
      </w:pPr>
      <w:r>
        <w:rPr>
          <w:rStyle w:val="Revised"/>
        </w:rPr>
        <w:t xml:space="preserve">Fourth, the athlete fixed-effects model (1,909 athletes; Supplementary Table S28, Supplementary Figure S5) placed volume 7% (95% CI 0–13%), 12% (5–19%), and 23% (16–31%) below each athlete’s own earlier level three, two, and one season(s) before the final active season, net of the common age profile; the decline steepened towards exit (</w:t>
      </w:r>
      <w:r>
        <w:rPr>
          <w:rStyle w:val="Revised"/>
          <w:i/>
          <w:iCs/>
        </w:rPr>
        <w:t xml:space="preserve">p</w:t>
      </w:r>
      <w:r>
        <w:rPr>
          <w:rStyle w:val="Revised"/>
        </w:rPr>
        <w:t xml:space="preserve"> </w:t>
      </w:r>
      <w:r>
        <w:rPr>
          <w:rStyle w:val="Revised"/>
        </w:rPr>
        <w:t xml:space="preserve">&lt; .001) and was reproduced among exits at ages 17–19.</w:t>
      </w:r>
    </w:p>
    <w:p>
      <w:pPr>
        <w:pStyle w:val="BodyText"/>
      </w:pPr>
      <w:r>
        <w:t xml:space="preserve">[</w:t>
      </w:r>
      <w:r>
        <w:rPr>
          <w:b/>
          <w:bCs/>
        </w:rPr>
        <w:t xml:space="preserve">Table 4 about here</w:t>
      </w:r>
      <w:r>
        <w:t xml:space="preserve">]</w:t>
      </w:r>
    </w:p>
    <w:bookmarkEnd w:id="38"/>
    <w:bookmarkStart w:id="39" w:name="time-aligned-behavior-vs.-performance"/>
    <w:p>
      <w:pPr>
        <w:pStyle w:val="Heading2"/>
      </w:pPr>
      <w:r>
        <w:t xml:space="preserve">3.6 Time-aligned behavior vs. performance</w:t>
      </w:r>
    </w:p>
    <w:p>
      <w:pPr>
        <w:pStyle w:val="FirstParagraph"/>
      </w:pPr>
      <w:r>
        <w:t xml:space="preserve">In a fully time-aligned comparison, with behavior and performance both measured at ages 13–14 to remove any temporal advantage,</w:t>
      </w:r>
      <w:r>
        <w:t xml:space="preserve"> </w:t>
      </w:r>
      <w:r>
        <w:rPr>
          <w:rStyle w:val="Revised"/>
        </w:rPr>
        <w:t xml:space="preserve">volume discriminated somewhat better than baseline performance: CV-AUC = 0.700 for sex + baseline Tyrving and 0.740 for sex + volume (difference 0.040, 95% CI 0.006–0.074; Supplementary Table S27). The two were complementary: adding Tyrving to volume raised the AUC by 0.023 (0.007–0.038). With its within-baseline trajectory (change from 13 to 14), performance matched volume (0.737 vs. 0.736; n = 1,721). Because Tyrving norms are unequally demanding across event groups (mean baseline-meet points 798 in sprints, 501 in throws), we also ranked athletes within event, sex and age at the baseline meet; this rank discriminated less well (0.689).</w:t>
      </w:r>
    </w:p>
    <w:p>
      <w:pPr>
        <w:pStyle w:val="BodyText"/>
      </w:pPr>
      <w:r>
        <w:t xml:space="preserve">Volume and performance were</w:t>
      </w:r>
      <w:r>
        <w:t xml:space="preserve"> </w:t>
      </w:r>
      <w:r>
        <w:rPr>
          <w:rStyle w:val="Revised"/>
        </w:rPr>
        <w:t xml:space="preserve">moderately</w:t>
      </w:r>
      <w:r>
        <w:t xml:space="preserve"> </w:t>
      </w:r>
      <w:r>
        <w:t xml:space="preserve">correlated (Spearman ρ =</w:t>
      </w:r>
      <w:r>
        <w:t xml:space="preserve"> </w:t>
      </w:r>
      <w:r>
        <w:rPr>
          <w:rStyle w:val="Revised"/>
        </w:rPr>
        <w:t xml:space="preserve">.35</w:t>
      </w:r>
      <w:r>
        <w:t xml:space="preserve"> </w:t>
      </w:r>
      <w:r>
        <w:t xml:space="preserve">with baseline Tyrving;</w:t>
      </w:r>
      <w:r>
        <w:t xml:space="preserve"> </w:t>
      </w:r>
      <w:r>
        <w:rPr>
          <w:rStyle w:val="Revised"/>
        </w:rPr>
        <w:t xml:space="preserve">.52</w:t>
      </w:r>
      <w:r>
        <w:t xml:space="preserve"> </w:t>
      </w:r>
      <w:r>
        <w:t xml:space="preserve">with pre-15 peak;</w:t>
      </w:r>
      <w:r>
        <w:t xml:space="preserve"> </w:t>
      </w:r>
      <w:r>
        <w:rPr>
          <w:rStyle w:val="Revised"/>
        </w:rPr>
        <w:t xml:space="preserve">.63</w:t>
      </w:r>
      <w:r>
        <w:t xml:space="preserve"> </w:t>
      </w:r>
      <w:r>
        <w:t xml:space="preserve">for milestone volume vs. age-15 Tyrving),</w:t>
      </w:r>
      <w:r>
        <w:t xml:space="preserve"> </w:t>
      </w:r>
      <w:r>
        <w:rPr>
          <w:rStyle w:val="Revised"/>
        </w:rPr>
        <w:t xml:space="preserve">but above-median volume was associated with higher senior retention within every baseline-Tyrving quartile, from 15.8% vs. 3.9% in the lowest to 38.1% vs. 13.5% in the highest (Supplementary Table S32)</w:t>
      </w:r>
      <w:r>
        <w:t xml:space="preserve">. Volume is related to, but clearly not reducible to, performance level.</w:t>
      </w:r>
    </w:p>
    <w:bookmarkEnd w:id="39"/>
    <w:bookmarkStart w:id="40" w:name="X5edab9ffdb59cfb1a6c0e842c5a243c15ec97ab"/>
    <w:p>
      <w:pPr>
        <w:pStyle w:val="Heading2"/>
      </w:pPr>
      <w:r>
        <w:t xml:space="preserve">3.7 Landmark analysis: post-baseline behavior among continuing athletes</w:t>
      </w:r>
    </w:p>
    <w:p>
      <w:pPr>
        <w:pStyle w:val="FirstParagraph"/>
      </w:pPr>
      <w:r>
        <w:t xml:space="preserve">Conditioning on athletes</w:t>
      </w:r>
      <w:r>
        <w:t xml:space="preserve"> </w:t>
      </w:r>
      <w:r>
        <w:rPr>
          <w:rStyle w:val="Revised"/>
        </w:rPr>
        <w:t xml:space="preserve">still in their career at age 16 (final active season at 16 or later; n = 1,148)</w:t>
      </w:r>
      <w:r>
        <w:t xml:space="preserve">, volume across ages 15–16 was the largest contributor to subsequent cessation risk (HR =</w:t>
      </w:r>
      <w:r>
        <w:t xml:space="preserve"> </w:t>
      </w:r>
      <w:r>
        <w:rPr>
          <w:rStyle w:val="Revised"/>
        </w:rPr>
        <w:t xml:space="preserve">0.68</w:t>
      </w:r>
      <w:r>
        <w:t xml:space="preserve"> </w:t>
      </w:r>
      <w:r>
        <w:t xml:space="preserve">per SD, 95% CI</w:t>
      </w:r>
      <w:r>
        <w:t xml:space="preserve"> </w:t>
      </w:r>
      <w:r>
        <w:rPr>
          <w:rStyle w:val="Revised"/>
        </w:rPr>
        <w:t xml:space="preserve">[0.62, 0.74]</w:t>
      </w:r>
      <w:r>
        <w:t xml:space="preserve">, C-index =</w:t>
      </w:r>
      <w:r>
        <w:t xml:space="preserve"> </w:t>
      </w:r>
      <w:r>
        <w:rPr>
          <w:rStyle w:val="Revised"/>
        </w:rPr>
        <w:t xml:space="preserve">0.695</w:t>
      </w:r>
      <w:r>
        <w:t xml:space="preserve">; complete-case n =</w:t>
      </w:r>
      <w:r>
        <w:t xml:space="preserve"> </w:t>
      </w:r>
      <w:r>
        <w:rPr>
          <w:rStyle w:val="Revised"/>
        </w:rPr>
        <w:t xml:space="preserve">1,147</w:t>
      </w:r>
      <w:r>
        <w:t xml:space="preserve">; Supplementary Table S8).</w:t>
      </w:r>
      <w:r>
        <w:t xml:space="preserve"> </w:t>
      </w:r>
      <w:r>
        <w:rPr>
          <w:rStyle w:val="Revised"/>
        </w:rPr>
        <w:t xml:space="preserve">The baseline-only Cox model, with its clock starting at the end of the age-14 season (volume HR = 0.65 per SD, 95% CI [0.62, 0.69]; Supplementary Tables S10 and S16), a period-specific decomposition (Table 5), and diagnostics (Supplementary Tables S1, S6, S11, S17; Supplementary Figure S4) are descriptive companions; post-baseline Cox estimates are not primary (predictor and at-risk window overlap), and their contamination-free analogue is the change model in Section 3.5.</w:t>
      </w:r>
    </w:p>
    <w:p>
      <w:pPr>
        <w:pStyle w:val="BodyText"/>
      </w:pPr>
      <w:r>
        <w:t xml:space="preserve">[</w:t>
      </w:r>
      <w:r>
        <w:rPr>
          <w:b/>
          <w:bCs/>
        </w:rPr>
        <w:t xml:space="preserve">Table 5 about here</w:t>
      </w:r>
      <w:r>
        <w:t xml:space="preserve">]</w:t>
      </w:r>
    </w:p>
    <w:bookmarkEnd w:id="40"/>
    <w:bookmarkStart w:id="41" w:name="prospective-early-warning-thresholds"/>
    <w:p>
      <w:pPr>
        <w:pStyle w:val="Heading2"/>
      </w:pPr>
      <w:r>
        <w:t xml:space="preserve">3.8 Prospective early-warning thresholds</w:t>
      </w:r>
    </w:p>
    <w:p>
      <w:pPr>
        <w:pStyle w:val="FirstParagraph"/>
      </w:pPr>
      <w:r>
        <w:t xml:space="preserve">Because the primary analysis uses only baseline-window data, a prospective rule can be evaluated at the end of the age-14 season (Table 6, with bootstrap CIs). At a moderate</w:t>
      </w:r>
      <w:r>
        <w:t xml:space="preserve"> </w:t>
      </w:r>
      <w:r>
        <w:rPr>
          <w:rStyle w:val="Revised"/>
        </w:rPr>
        <w:t xml:space="preserve">candidate</w:t>
      </w:r>
      <w:r>
        <w:t xml:space="preserve"> </w:t>
      </w:r>
      <w:r>
        <w:t xml:space="preserve">threshold (vol &lt; 10 meets across ages 13–14, flagging</w:t>
      </w:r>
      <w:r>
        <w:t xml:space="preserve"> </w:t>
      </w:r>
      <w:r>
        <w:rPr>
          <w:rStyle w:val="Revised"/>
        </w:rPr>
        <w:t xml:space="preserve">27.3%</w:t>
      </w:r>
      <w:r>
        <w:t xml:space="preserve">), senior retention was</w:t>
      </w:r>
      <w:r>
        <w:t xml:space="preserve"> </w:t>
      </w:r>
      <w:r>
        <w:rPr>
          <w:rStyle w:val="Revised"/>
        </w:rPr>
        <w:t xml:space="preserve">5.5%</w:t>
      </w:r>
      <w:r>
        <w:t xml:space="preserve"> </w:t>
      </w:r>
      <w:r>
        <w:t xml:space="preserve">among flagged athletes versus</w:t>
      </w:r>
      <w:r>
        <w:t xml:space="preserve"> </w:t>
      </w:r>
      <w:r>
        <w:rPr>
          <w:rStyle w:val="Revised"/>
        </w:rPr>
        <w:t xml:space="preserve">20.3%</w:t>
      </w:r>
      <w:r>
        <w:t xml:space="preserve"> </w:t>
      </w:r>
      <w:r>
        <w:t xml:space="preserve">among unflagged, a</w:t>
      </w:r>
      <w:r>
        <w:t xml:space="preserve"> </w:t>
      </w:r>
      <w:r>
        <w:rPr>
          <w:rStyle w:val="Revised"/>
        </w:rPr>
        <w:t xml:space="preserve">3.7-fold</w:t>
      </w:r>
      <w:r>
        <w:t xml:space="preserve"> </w:t>
      </w:r>
      <w:r>
        <w:t xml:space="preserve">difference in retention prospects (PPV =</w:t>
      </w:r>
      <w:r>
        <w:t xml:space="preserve"> </w:t>
      </w:r>
      <w:r>
        <w:rPr>
          <w:rStyle w:val="Revised"/>
        </w:rPr>
        <w:t xml:space="preserve">0.95</w:t>
      </w:r>
      <w:r>
        <w:t xml:space="preserve">, sensitivity =</w:t>
      </w:r>
      <w:r>
        <w:t xml:space="preserve"> </w:t>
      </w:r>
      <w:r>
        <w:rPr>
          <w:rStyle w:val="Revised"/>
        </w:rPr>
        <w:t xml:space="preserve">0.31</w:t>
      </w:r>
      <w:r>
        <w:t xml:space="preserve">); lower (&lt; 5) and higher (&lt; 15) thresholds narrow or broaden the screen. Two properties discipline use: PPV partly reflects the 84% base rate (</w:t>
      </w:r>
      <w:r>
        <w:rPr>
          <w:rStyle w:val="Revised"/>
        </w:rPr>
        <w:t xml:space="preserve">~11-point</w:t>
      </w:r>
      <w:r>
        <w:t xml:space="preserve"> </w:t>
      </w:r>
      <w:r>
        <w:t xml:space="preserve">precision gain), and NPV = 0.20 means unflagged athletes are</w:t>
      </w:r>
      <w:r>
        <w:t xml:space="preserve"> </w:t>
      </w:r>
      <w:r>
        <w:rPr>
          <w:i/>
          <w:iCs/>
        </w:rPr>
        <w:t xml:space="preserve">not</w:t>
      </w:r>
      <w:r>
        <w:t xml:space="preserve"> </w:t>
      </w:r>
      <w:r>
        <w:t xml:space="preserve">“safe”</w:t>
      </w:r>
      <w:r>
        <w:t xml:space="preserve">: four in five also fail to retain.</w:t>
      </w:r>
      <w:r>
        <w:t xml:space="preserve"> </w:t>
      </w:r>
      <w:r>
        <w:rPr>
          <w:rStyle w:val="Revised"/>
        </w:rPr>
        <w:t xml:space="preserve">Derived in one cohort and tested in the other, the rule held: the lowest volume quartile is &lt; 10 meets in both cohorts, and in the other cohort it gave retention of 4.6% versus 21.4% (Cohort B) and 6.0% versus 19.7% (Cohort A; Supplementary Table S29). Youden’s J favours broader screens (&lt; 21 to &lt; 29 meets), so &lt; 10 remains a candidate targeting rule.</w:t>
      </w:r>
    </w:p>
    <w:p>
      <w:pPr>
        <w:pStyle w:val="BodyText"/>
      </w:pPr>
      <w:r>
        <w:t xml:space="preserve">[</w:t>
      </w:r>
      <w:r>
        <w:rPr>
          <w:b/>
          <w:bCs/>
        </w:rPr>
        <w:t xml:space="preserve">Table 6 about here</w:t>
      </w:r>
      <w:r>
        <w:t xml:space="preserve">]</w:t>
      </w:r>
    </w:p>
    <w:bookmarkEnd w:id="41"/>
    <w:bookmarkStart w:id="42" w:name="Xce71a58b6e16173dc667ed72ce929a73f522038"/>
    <w:p>
      <w:pPr>
        <w:pStyle w:val="Heading2"/>
      </w:pPr>
      <w:r>
        <w:t xml:space="preserve">3.9 Within-sport event concentration and retention</w:t>
      </w:r>
    </w:p>
    <w:p>
      <w:pPr>
        <w:pStyle w:val="FirstParagraph"/>
      </w:pPr>
      <w:r>
        <w:t xml:space="preserve">Higher baseline HHI (more event-category concentration</w:t>
      </w:r>
      <w:r>
        <w:t xml:space="preserve"> </w:t>
      </w:r>
      <w:r>
        <w:rPr>
          <w:rStyle w:val="Revised"/>
        </w:rPr>
        <w:t xml:space="preserve">at ages 13–14</w:t>
      </w:r>
      <w:r>
        <w:t xml:space="preserve">)</w:t>
      </w:r>
      <w:r>
        <w:t xml:space="preserve"> </w:t>
      </w:r>
      <w:r>
        <w:rPr>
          <w:rStyle w:val="Revised"/>
        </w:rPr>
        <w:t xml:space="preserve">was associated with higher senior retention only once volume was in the model (OR = 1.18 per SD, 95% CI [1.04, 1.34]; without volume, 1.00), only in Cohort B (1.32; Cohort A 1.07 [0.90, 1.28]), without gain in discrimination (ΔAUC = −0.002), and not once performance in the athlete’s main event category was controlled (1.07 [0.94, 1.23]; Supplementary Table S18)</w:t>
      </w:r>
      <w:r>
        <w:t xml:space="preserve">. Because HHI is bounded below by 1/(result count), we stress-tested for count-dependence; the association</w:t>
      </w:r>
      <w:r>
        <w:t xml:space="preserve"> </w:t>
      </w:r>
      <w:r>
        <w:rPr>
          <w:rStyle w:val="Revised"/>
        </w:rPr>
        <w:t xml:space="preserve">was unchanged under</w:t>
      </w:r>
      <w:r>
        <w:t xml:space="preserve"> </w:t>
      </w:r>
      <w:r>
        <w:t xml:space="preserve">restriction to ≥5 and ≥8</w:t>
      </w:r>
      <w:r>
        <w:t xml:space="preserve"> </w:t>
      </w:r>
      <w:r>
        <w:rPr>
          <w:rStyle w:val="Revised"/>
        </w:rPr>
        <w:t xml:space="preserve">results at ages 13–14 (OR = 1.17, 1.17)</w:t>
      </w:r>
      <w:r>
        <w:t xml:space="preserve"> </w:t>
      </w:r>
      <w:r>
        <w:t xml:space="preserve">and a finite-sample-corrected index (OR =</w:t>
      </w:r>
      <w:r>
        <w:t xml:space="preserve"> </w:t>
      </w:r>
      <w:r>
        <w:rPr>
          <w:rStyle w:val="Revised"/>
        </w:rPr>
        <w:t xml:space="preserve">1.20</w:t>
      </w:r>
      <w:r>
        <w:t xml:space="preserve">, 95% CI</w:t>
      </w:r>
      <w:r>
        <w:t xml:space="preserve"> </w:t>
      </w:r>
      <w:r>
        <w:rPr>
          <w:rStyle w:val="Revised"/>
        </w:rPr>
        <w:t xml:space="preserve">[1.05, 1.35]</w:t>
      </w:r>
      <w:r>
        <w:t xml:space="preserve">; Supplementary Table S20)</w:t>
      </w:r>
      <w:r>
        <w:rPr>
          <w:rStyle w:val="Revised"/>
        </w:rPr>
        <w:t xml:space="preserve">. The index captures concentration</w:t>
      </w:r>
      <w:r>
        <w:rPr>
          <w:rStyle w:val="Revised"/>
        </w:rPr>
        <w:t xml:space="preserve"> </w:t>
      </w:r>
      <w:r>
        <w:rPr>
          <w:rStyle w:val="Revised"/>
          <w:i/>
          <w:iCs/>
        </w:rPr>
        <w:t xml:space="preserve">within</w:t>
      </w:r>
      <w:r>
        <w:rPr>
          <w:rStyle w:val="Revised"/>
        </w:rPr>
        <w:t xml:space="preserve"> </w:t>
      </w:r>
      <w:r>
        <w:rPr>
          <w:rStyle w:val="Revised"/>
        </w:rPr>
        <w:t xml:space="preserve">track and field, not multisport diversification (§4.6).</w:t>
      </w:r>
    </w:p>
    <w:bookmarkEnd w:id="42"/>
    <w:bookmarkStart w:id="43" w:name="Xc24900d152d1ea4b537c2240c8708c9c2bfa41a"/>
    <w:p>
      <w:pPr>
        <w:pStyle w:val="Heading2"/>
      </w:pPr>
      <w:r>
        <w:t xml:space="preserve">3.10</w:t>
      </w:r>
      <w:r>
        <w:t xml:space="preserve"> </w:t>
      </w:r>
      <w:r>
        <w:rPr>
          <w:rStyle w:val="Revised"/>
        </w:rPr>
        <w:t xml:space="preserve">Internal cohort replication</w:t>
      </w:r>
      <w:r>
        <w:t xml:space="preserve"> </w:t>
      </w:r>
      <w:r>
        <w:t xml:space="preserve">and sensitivity</w:t>
      </w:r>
    </w:p>
    <w:p>
      <w:pPr>
        <w:pStyle w:val="FirstParagraph"/>
      </w:pPr>
      <w:r>
        <w:t xml:space="preserve">Re-estimated by cohort, the pre-milestone volume effect</w:t>
      </w:r>
      <w:r>
        <w:t xml:space="preserve"> </w:t>
      </w:r>
      <w:r>
        <w:rPr>
          <w:rStyle w:val="Revised"/>
        </w:rPr>
        <w:t xml:space="preserve">was reproduced</w:t>
      </w:r>
      <w:r>
        <w:t xml:space="preserve">: Cohort A OR =</w:t>
      </w:r>
      <w:r>
        <w:t xml:space="preserve"> </w:t>
      </w:r>
      <w:r>
        <w:rPr>
          <w:rStyle w:val="Revised"/>
        </w:rPr>
        <w:t xml:space="preserve">2.03</w:t>
      </w:r>
      <w:r>
        <w:t xml:space="preserve"> </w:t>
      </w:r>
      <w:r>
        <w:t xml:space="preserve">(95% CI</w:t>
      </w:r>
      <w:r>
        <w:t xml:space="preserve"> </w:t>
      </w:r>
      <w:r>
        <w:rPr>
          <w:rStyle w:val="Revised"/>
        </w:rPr>
        <w:t xml:space="preserve">[1.72, 2.38]</w:t>
      </w:r>
      <w:r>
        <w:t xml:space="preserve">), Cohort B OR =</w:t>
      </w:r>
      <w:r>
        <w:t xml:space="preserve"> </w:t>
      </w:r>
      <w:r>
        <w:rPr>
          <w:rStyle w:val="Revised"/>
        </w:rPr>
        <w:t xml:space="preserve">2.10</w:t>
      </w:r>
      <w:r>
        <w:t xml:space="preserve"> </w:t>
      </w:r>
      <w:r>
        <w:t xml:space="preserve">(95% CI</w:t>
      </w:r>
      <w:r>
        <w:t xml:space="preserve"> </w:t>
      </w:r>
      <w:r>
        <w:rPr>
          <w:rStyle w:val="Revised"/>
        </w:rPr>
        <w:t xml:space="preserve">[1.71, 2.58]</w:t>
      </w:r>
      <w:r>
        <w:t xml:space="preserve">), both</w:t>
      </w:r>
      <w:r>
        <w:t xml:space="preserve"> </w:t>
      </w:r>
      <w:r>
        <w:rPr>
          <w:i/>
          <w:iCs/>
        </w:rPr>
        <w:t xml:space="preserve">p</w:t>
      </w:r>
      <w:r>
        <w:t xml:space="preserve"> </w:t>
      </w:r>
      <w:r>
        <w:t xml:space="preserve">&lt; .001 (Table 7);</w:t>
      </w:r>
      <w:r>
        <w:t xml:space="preserve"> </w:t>
      </w:r>
      <w:r>
        <w:rPr>
          <w:rStyle w:val="Revised"/>
        </w:rPr>
        <w:t xml:space="preserve">female sex predicted lower and baseline performance higher retention in both cohorts</w:t>
      </w:r>
      <w:r>
        <w:t xml:space="preserve">.</w:t>
      </w:r>
    </w:p>
    <w:p>
      <w:pPr>
        <w:pStyle w:val="BodyText"/>
      </w:pPr>
      <w:r>
        <w:t xml:space="preserve">[</w:t>
      </w:r>
      <w:r>
        <w:rPr>
          <w:b/>
          <w:bCs/>
        </w:rPr>
        <w:t xml:space="preserve">Table 7 about here</w:t>
      </w:r>
      <w:r>
        <w:t xml:space="preserve">]</w:t>
      </w:r>
    </w:p>
    <w:p>
      <w:pPr>
        <w:pStyle w:val="BodyText"/>
      </w:pPr>
      <w:r>
        <w:t xml:space="preserve">On the primary specification, the effect was robust to outcome definition (OR =</w:t>
      </w:r>
      <w:r>
        <w:t xml:space="preserve"> </w:t>
      </w:r>
      <w:r>
        <w:rPr>
          <w:rStyle w:val="Revised"/>
        </w:rPr>
        <w:t xml:space="preserve">1.95, 2.04, 1.87</w:t>
      </w:r>
      <w:r>
        <w:t xml:space="preserve"> </w:t>
      </w:r>
      <w:r>
        <w:t xml:space="preserve">across the three definitions; Supplementary Table S9), to the fixed-window outcome (ages 20–22: OR =</w:t>
      </w:r>
      <w:r>
        <w:t xml:space="preserve"> </w:t>
      </w:r>
      <w:r>
        <w:rPr>
          <w:rStyle w:val="Revised"/>
        </w:rPr>
        <w:t xml:space="preserve">2.08</w:t>
      </w:r>
      <w:r>
        <w:t xml:space="preserve">; Supplementary Table S24), to multiple imputation (Supplementary Table S21),</w:t>
      </w:r>
      <w:r>
        <w:t xml:space="preserve"> </w:t>
      </w:r>
      <w:r>
        <w:rPr>
          <w:rStyle w:val="Revised"/>
        </w:rPr>
        <w:t xml:space="preserve">to treating temporary gaps as exits (Cox HR 0.65, 0.62, 0.62; Supplementary Table S30; only 4.4% of athletes who missed two consecutive seasons ever returned),</w:t>
      </w:r>
      <w:r>
        <w:t xml:space="preserve"> </w:t>
      </w:r>
      <w:r>
        <w:t xml:space="preserve">and to</w:t>
      </w:r>
      <w:r>
        <w:t xml:space="preserve"> </w:t>
      </w:r>
      <w:r>
        <w:rPr>
          <w:rStyle w:val="Revised"/>
        </w:rPr>
        <w:t xml:space="preserve">club-clustered</w:t>
      </w:r>
      <w:r>
        <w:t xml:space="preserve"> </w:t>
      </w:r>
      <w:r>
        <w:t xml:space="preserve">standard errors (Supplementary Table</w:t>
      </w:r>
      <w:r>
        <w:t xml:space="preserve"> </w:t>
      </w:r>
      <w:r>
        <w:rPr>
          <w:rStyle w:val="Revised"/>
        </w:rPr>
        <w:t xml:space="preserve">S22</w:t>
      </w:r>
      <w:r>
        <w:t xml:space="preserve">).</w:t>
      </w:r>
      <w:r>
        <w:t xml:space="preserve"> </w:t>
      </w:r>
      <w:r>
        <w:rPr>
          <w:rStyle w:val="Revised"/>
        </w:rPr>
        <w:t xml:space="preserve">For unmeasured confounding, the E-value is 2.2 (confidence limit 2.0; Supplementary Table S3): a confounder would need risk-ratio associations of ≈2.2 with both early volume and retention, stronger than any measured covariate, to explain the association away.</w:t>
      </w:r>
    </w:p>
    <w:p>
      <w:r>
        <w:pict>
          <v:rect style="width:0;height:1.5pt" o:hralign="center" o:hrstd="t" o:hr="t"/>
        </w:pict>
      </w:r>
    </w:p>
    <w:bookmarkEnd w:id="43"/>
    <w:bookmarkStart w:id="44" w:name="discussion"/>
    <w:p>
      <w:pPr>
        <w:pStyle w:val="Heading2"/>
      </w:pPr>
      <w:r>
        <w:t xml:space="preserve">4. Discussion</w:t>
      </w:r>
    </w:p>
    <w:bookmarkEnd w:id="44"/>
    <w:bookmarkStart w:id="45" w:name="summary-of-findings"/>
    <w:p>
      <w:pPr>
        <w:pStyle w:val="Heading2"/>
      </w:pPr>
      <w:r>
        <w:t xml:space="preserve">4.1 Summary of findings</w:t>
      </w:r>
    </w:p>
    <w:p>
      <w:pPr>
        <w:pStyle w:val="FirstParagraph"/>
      </w:pPr>
      <w:r>
        <w:t xml:space="preserve">Four findings emerge from this 14-year follow-up of</w:t>
      </w:r>
      <w:r>
        <w:t xml:space="preserve"> </w:t>
      </w:r>
      <w:r>
        <w:rPr>
          <w:rStyle w:val="Revised"/>
        </w:rPr>
        <w:t xml:space="preserve">2,138</w:t>
      </w:r>
      <w:r>
        <w:t xml:space="preserve"> </w:t>
      </w:r>
      <w:r>
        <w:t xml:space="preserve">young athletes. First, competition volume at ages 13–14 was strongly and prospectively associated with retaining senior competition</w:t>
      </w:r>
      <w:r>
        <w:rPr>
          <w:rStyle w:val="Revised"/>
        </w:rPr>
        <w:t xml:space="preserve">, more strongly than performance measured in the same window, which nonetheless added complementary information</w:t>
      </w:r>
      <w:r>
        <w:t xml:space="preserve">. Second, the association</w:t>
      </w:r>
      <w:r>
        <w:t xml:space="preserve"> </w:t>
      </w:r>
      <w:r>
        <w:rPr>
          <w:rStyle w:val="Revised"/>
        </w:rPr>
        <w:t xml:space="preserve">was reproduced in both birth cohorts</w:t>
      </w:r>
      <w:r>
        <w:t xml:space="preserve"> </w:t>
      </w:r>
      <w:r>
        <w:t xml:space="preserve">and withstood structural controls, club random effects,</w:t>
      </w:r>
      <w:r>
        <w:t xml:space="preserve"> </w:t>
      </w:r>
      <w:r>
        <w:rPr>
          <w:rStyle w:val="Revised"/>
        </w:rPr>
        <w:t xml:space="preserve">club-clustered and club-grouped validation,</w:t>
      </w:r>
      <w:r>
        <w:t xml:space="preserve"> </w:t>
      </w:r>
      <w:r>
        <w:t xml:space="preserve">and multiple imputation. Third, the dropout signal decomposed into two</w:t>
      </w:r>
      <w:r>
        <w:t xml:space="preserve"> </w:t>
      </w:r>
      <w:r>
        <w:rPr>
          <w:rStyle w:val="Revised"/>
        </w:rPr>
        <w:t xml:space="preserve">components</w:t>
      </w:r>
      <w:r>
        <w:t xml:space="preserve">: early behavioral heterogeneity visible at 13–14, and a</w:t>
      </w:r>
      <w:r>
        <w:t xml:space="preserve"> </w:t>
      </w:r>
      <w:r>
        <w:rPr>
          <w:rStyle w:val="Revised"/>
        </w:rPr>
        <w:t xml:space="preserve">within-athlete decline in competition participation before exit</w:t>
      </w:r>
      <w:r>
        <w:t xml:space="preserve">. Exit-aligned trajectories showed most dropouts tapering (median 12 → 10 → 9 → 4 meets across their last four seasons),</w:t>
      </w:r>
      <w:r>
        <w:t xml:space="preserve"> </w:t>
      </w:r>
      <w:r>
        <w:rPr>
          <w:rStyle w:val="Revised"/>
        </w:rPr>
        <w:t xml:space="preserve">each athlete’s volume fell below their own earlier level in the two seasons before exit,</w:t>
      </w:r>
      <w:r>
        <w:t xml:space="preserve"> </w:t>
      </w:r>
      <w:r>
        <w:t xml:space="preserve">and decline predicted exit even among athletes all still active at 16. Fourth,</w:t>
      </w:r>
      <w:r>
        <w:t xml:space="preserve"> </w:t>
      </w:r>
      <w:r>
        <w:rPr>
          <w:rStyle w:val="Revised"/>
        </w:rPr>
        <w:t xml:space="preserve">event-category concentration within track and field was not robustly associated with retention once performance in the athlete’s main event was taken into account</w:t>
      </w:r>
      <w:r>
        <w:t xml:space="preserve">; this is a different construct from, not a contradiction of, multisport diversification (§4.6).</w:t>
      </w:r>
    </w:p>
    <w:bookmarkEnd w:id="45"/>
    <w:bookmarkStart w:id="46" w:name="X6e10a14ec842d509e460c37e9b714f61dcf7446"/>
    <w:p>
      <w:pPr>
        <w:pStyle w:val="Heading2"/>
      </w:pPr>
      <w:r>
        <w:t xml:space="preserve">4.2</w:t>
      </w:r>
      <w:r>
        <w:t xml:space="preserve"> </w:t>
      </w:r>
      <w:r>
        <w:rPr>
          <w:rStyle w:val="Revised"/>
        </w:rPr>
        <w:t xml:space="preserve">Competition volume and performance carry complementary information</w:t>
      </w:r>
    </w:p>
    <w:p>
      <w:pPr>
        <w:pStyle w:val="FirstParagraph"/>
      </w:pPr>
      <w:r>
        <w:rPr>
          <w:rStyle w:val="Revised"/>
        </w:rPr>
        <w:t xml:space="preserve">Competition volume discriminated senior retention somewhat better than performance (Tyrving score) measured in the same window (AUC difference 0.040, 95% CI 0.006–0.074), but the two were complementary, and with its within-baseline trajectory performance matched volume (Section 3.6): Hypothesis 2 holds in a weak form, behavior discriminating at least as well as performance, not instead of it.</w:t>
      </w:r>
      <w:r>
        <w:t xml:space="preserve"> </w:t>
      </w:r>
      <w:r>
        <w:t xml:space="preserve">Performance reflects capability; volume reflects the athlete’s own choices about taking part (licensed by the open-entry structure of Section 2.2), and those choices</w:t>
      </w:r>
      <w:r>
        <w:t xml:space="preserve"> </w:t>
      </w:r>
      <w:r>
        <w:rPr>
          <w:rStyle w:val="Revised"/>
        </w:rPr>
        <w:t xml:space="preserve">carry at least as much information about later retention as</w:t>
      </w:r>
      <w:r>
        <w:t xml:space="preserve"> </w:t>
      </w:r>
      <w:r>
        <w:t xml:space="preserve">capability does</w:t>
      </w:r>
      <w:r>
        <w:rPr>
          <w:rStyle w:val="Revised"/>
        </w:rPr>
        <w:t xml:space="preserve">, and partly different information</w:t>
      </w:r>
      <w:r>
        <w:t xml:space="preserve">. Two caveats: volume is a near-noiseless count while Tyrving is a scored maximum</w:t>
      </w:r>
      <w:r>
        <w:t xml:space="preserve"> </w:t>
      </w:r>
      <w:r>
        <w:rPr>
          <w:rStyle w:val="Revised"/>
        </w:rPr>
        <w:t xml:space="preserve">whose norms are not equally demanding across event groups</w:t>
      </w:r>
      <w:r>
        <w:t xml:space="preserve">, so part of the gap could be measurement precision (</w:t>
      </w:r>
      <w:r>
        <w:rPr>
          <w:rStyle w:val="Revised"/>
        </w:rPr>
        <w:t xml:space="preserve">a within-event rank did not close it, and</w:t>
      </w:r>
      <w:r>
        <w:t xml:space="preserve"> </w:t>
      </w:r>
      <w:r>
        <w:t xml:space="preserve">the within-stratum effects argue not all of it); and predictor and outcome both index registered activity, so</w:t>
      </w:r>
      <w:r>
        <w:t xml:space="preserve"> </w:t>
      </w:r>
      <w:r>
        <w:rPr>
          <w:rStyle w:val="Revised"/>
        </w:rPr>
        <w:t xml:space="preserve">volume’s advantage</w:t>
      </w:r>
      <w:r>
        <w:t xml:space="preserve"> </w:t>
      </w:r>
      <w:r>
        <w:t xml:space="preserve">describes when disengagement becomes observable, not a causal mechanism.</w:t>
      </w:r>
    </w:p>
    <w:p>
      <w:pPr>
        <w:pStyle w:val="BodyText"/>
      </w:pPr>
      <w:r>
        <w:t xml:space="preserve">Low or declining volume can also have causes unrelated to waning engagement.</w:t>
      </w:r>
      <w:r>
        <w:t xml:space="preserve"> </w:t>
      </w:r>
      <w:r>
        <w:rPr>
          <w:i/>
          <w:iCs/>
        </w:rPr>
        <w:t xml:space="preserve">Cost:</w:t>
      </w:r>
      <w:r>
        <w:t xml:space="preserve"> </w:t>
      </w:r>
      <w:r>
        <w:t xml:space="preserve">sport expenses are cited as a dropout reason more often by Norwegian minority youth from less-resourced families</w:t>
      </w:r>
      <w:r>
        <w:rPr>
          <w:vertAlign w:val="superscript"/>
        </w:rPr>
        <w:t xml:space="preserve">10</w:t>
      </w:r>
      <w:r>
        <w:t xml:space="preserve">; the channel is attenuated here (clubs pay entry fees, travel is short) but not eliminated, and the register holds no socioeconomic data.</w:t>
      </w:r>
      <w:r>
        <w:t xml:space="preserve"> </w:t>
      </w:r>
      <w:r>
        <w:rPr>
          <w:i/>
          <w:iCs/>
        </w:rPr>
        <w:t xml:space="preserve">Injury:</w:t>
      </w:r>
      <w:r>
        <w:t xml:space="preserve"> </w:t>
      </w:r>
      <w:r>
        <w:t xml:space="preserve">injuries were the most frequently mentioned dropout reason in the 25-year Norwegian track-and-field follow-up (24.3%),</w:t>
      </w:r>
      <w:r>
        <w:rPr>
          <w:vertAlign w:val="superscript"/>
        </w:rPr>
        <w:t xml:space="preserve">3</w:t>
      </w:r>
      <w:r>
        <w:t xml:space="preserve"> </w:t>
      </w:r>
      <w:r>
        <w:t xml:space="preserve">and an injured 14-year-old produces the same register signature as a disengaging one, so part of the</w:t>
      </w:r>
      <w:r>
        <w:t xml:space="preserve"> </w:t>
      </w:r>
      <w:r>
        <w:rPr>
          <w:rStyle w:val="Revised"/>
        </w:rPr>
        <w:t xml:space="preserve">decline</w:t>
      </w:r>
      <w:r>
        <w:t xml:space="preserve"> </w:t>
      </w:r>
      <w:r>
        <w:t xml:space="preserve">is plausibly enforced rather than chosen.</w:t>
      </w:r>
      <w:r>
        <w:t xml:space="preserve"> </w:t>
      </w:r>
      <w:r>
        <w:rPr>
          <w:rStyle w:val="Revised"/>
          <w:i/>
          <w:iCs/>
        </w:rPr>
        <w:t xml:space="preserve">Other sports and school:</w:t>
      </w:r>
      <w:r>
        <w:rPr>
          <w:rStyle w:val="Revised"/>
        </w:rPr>
        <w:t xml:space="preserve"> </w:t>
      </w:r>
      <w:r>
        <w:rPr>
          <w:rStyle w:val="Revised"/>
        </w:rPr>
        <w:t xml:space="preserve">a move to another sport (§4.4) or school constraints leave the same signature; hence we call declining participation a marker of disengagement, not a measure of it.</w:t>
      </w:r>
      <w:r>
        <w:t xml:space="preserve"> </w:t>
      </w:r>
      <w:r>
        <w:rPr>
          <w:i/>
          <w:iCs/>
        </w:rPr>
        <w:t xml:space="preserve">Periodization</w:t>
      </w:r>
      <w:r>
        <w:t xml:space="preserve">, competing less in order to peak later, is unlikely: the decline spans successive calendar years and ends in exit, not a peak.</w:t>
      </w:r>
    </w:p>
    <w:bookmarkEnd w:id="46"/>
    <w:bookmarkStart w:id="47" w:name="Xce800bc90eb95f6422002b91edf8d025ee41a4b"/>
    <w:p>
      <w:pPr>
        <w:pStyle w:val="Heading2"/>
      </w:pPr>
      <w:r>
        <w:t xml:space="preserve">4.3</w:t>
      </w:r>
      <w:r>
        <w:t xml:space="preserve"> </w:t>
      </w:r>
      <w:r>
        <w:rPr>
          <w:rStyle w:val="Revised"/>
        </w:rPr>
        <w:t xml:space="preserve">Decline is visible within athletes</w:t>
      </w:r>
      <w:r>
        <w:t xml:space="preserve">, and so is early heterogeneity</w:t>
      </w:r>
    </w:p>
    <w:p>
      <w:pPr>
        <w:pStyle w:val="FirstParagraph"/>
      </w:pPr>
      <w:r>
        <w:t xml:space="preserve">Is the divergence in Figure 2</w:t>
      </w:r>
      <w:r>
        <w:t xml:space="preserve"> </w:t>
      </w:r>
      <w:r>
        <w:rPr>
          <w:rStyle w:val="Revised"/>
        </w:rPr>
        <w:t xml:space="preserve">a within-athlete decline</w:t>
      </w:r>
      <w:r>
        <w:t xml:space="preserve">, or early differentiation only, or an artifact of averaging abrupt exits at heterogeneous ages? The exit-aligned</w:t>
      </w:r>
      <w:r>
        <w:t xml:space="preserve"> </w:t>
      </w:r>
      <w:r>
        <w:rPr>
          <w:rStyle w:val="Revised"/>
        </w:rPr>
        <w:t xml:space="preserve">and fixed-effects</w:t>
      </w:r>
      <w:r>
        <w:t xml:space="preserve"> </w:t>
      </w:r>
      <w:r>
        <w:t xml:space="preserve">analyses answer at the individual level: 95% of dropouts were still competing in their penultimate season, only</w:t>
      </w:r>
      <w:r>
        <w:t xml:space="preserve"> </w:t>
      </w:r>
      <w:r>
        <w:rPr>
          <w:rStyle w:val="Revised"/>
        </w:rPr>
        <w:t xml:space="preserve">20%</w:t>
      </w:r>
      <w:r>
        <w:t xml:space="preserve"> </w:t>
      </w:r>
      <w:r>
        <w:t xml:space="preserve">exited directly from peak volume</w:t>
      </w:r>
      <w:r>
        <w:rPr>
          <w:rStyle w:val="Revised"/>
        </w:rPr>
        <w:t xml:space="preserve">, and athletes competed 12% and 23% less than their own earlier level two seasons and one season before their final season. The typical exit is preceded by declining participation, not a cliff, although the register shows the timing of this decline, not its reasons (§4.2).</w:t>
      </w:r>
      <w:r>
        <w:t xml:space="preserve"> </w:t>
      </w:r>
      <w:r>
        <w:t xml:space="preserve">Both components are nonetheless</w:t>
      </w:r>
      <w:r>
        <w:t xml:space="preserve"> </w:t>
      </w:r>
      <w:r>
        <w:rPr>
          <w:rStyle w:val="Revised"/>
        </w:rPr>
        <w:t xml:space="preserve">present</w:t>
      </w:r>
      <w:r>
        <w:t xml:space="preserve">: level and change carried independent information (Table 4), the pattern held in the contamination-free window (level OR = 3.04; change OR =</w:t>
      </w:r>
      <w:r>
        <w:t xml:space="preserve"> </w:t>
      </w:r>
      <w:r>
        <w:rPr>
          <w:rStyle w:val="Revised"/>
        </w:rPr>
        <w:t xml:space="preserve">1.87</w:t>
      </w:r>
      <w:r>
        <w:t xml:space="preserve"> </w:t>
      </w:r>
      <w:r>
        <w:rPr>
          <w:rStyle w:val="Revised"/>
        </w:rPr>
        <w:t xml:space="preserve">per SD increase</w:t>
      </w:r>
      <w:r>
        <w:t xml:space="preserve">), and future dropouts already differed at 13–14, consistent with retrospective evidence that dropouts’ developmental activities differ years before exit.</w:t>
      </w:r>
      <w:r>
        <w:rPr>
          <w:vertAlign w:val="superscript"/>
        </w:rPr>
        <w:t xml:space="preserve">13</w:t>
      </w:r>
    </w:p>
    <w:bookmarkEnd w:id="47"/>
    <w:bookmarkStart w:id="48" w:name="Xe78cd062346b33a8c4f007b530df92eb1d95dc1"/>
    <w:p>
      <w:pPr>
        <w:pStyle w:val="Heading2"/>
      </w:pPr>
      <w:r>
        <w:t xml:space="preserve">4.4 Consistent with process accounts of withdrawal</w:t>
      </w:r>
    </w:p>
    <w:p>
      <w:pPr>
        <w:pStyle w:val="FirstParagraph"/>
      </w:pPr>
      <w:r>
        <w:t xml:space="preserve">We assess behavior, not motivational processes, so no single framework is confirmed; but the footprint is consistent with the main process accounts.</w:t>
      </w:r>
      <w:r>
        <w:t xml:space="preserve"> </w:t>
      </w:r>
      <w:r>
        <w:rPr>
          <w:rStyle w:val="Revised"/>
        </w:rPr>
        <w:t xml:space="preserve">In the Sport Commitment Model,</w:t>
      </w:r>
      <w:r>
        <w:rPr>
          <w:rStyle w:val="Revised"/>
          <w:vertAlign w:val="superscript"/>
        </w:rPr>
        <w:t xml:space="preserve">6,7</w:t>
      </w:r>
      <w:r>
        <w:rPr>
          <w:rStyle w:val="Revised"/>
        </w:rPr>
        <w:t xml:space="preserve"> </w:t>
      </w:r>
      <w:r>
        <w:rPr>
          <w:rStyle w:val="Revised"/>
          <w:i/>
          <w:iCs/>
        </w:rPr>
        <w:t xml:space="preserve">enthusiastic</w:t>
      </w:r>
      <w:r>
        <w:rPr>
          <w:rStyle w:val="Revised"/>
        </w:rPr>
        <w:t xml:space="preserve"> </w:t>
      </w:r>
      <w:r>
        <w:rPr>
          <w:rStyle w:val="Revised"/>
        </w:rPr>
        <w:t xml:space="preserve">commitment is distinguished from</w:t>
      </w:r>
      <w:r>
        <w:rPr>
          <w:rStyle w:val="Revised"/>
        </w:rPr>
        <w:t xml:space="preserve"> </w:t>
      </w:r>
      <w:r>
        <w:rPr>
          <w:rStyle w:val="Revised"/>
          <w:i/>
          <w:iCs/>
        </w:rPr>
        <w:t xml:space="preserve">constrained</w:t>
      </w:r>
      <w:r>
        <w:rPr>
          <w:rStyle w:val="Revised"/>
        </w:rPr>
        <w:t xml:space="preserve"> </w:t>
      </w:r>
      <w:r>
        <w:rPr>
          <w:rStyle w:val="Revised"/>
        </w:rPr>
        <w:t xml:space="preserve">commitment, the latter less sustainable and linked to burnout</w:t>
      </w:r>
      <w:r>
        <w:rPr>
          <w:rStyle w:val="Revised"/>
          <w:vertAlign w:val="superscript"/>
        </w:rPr>
        <w:t xml:space="preserve">35</w:t>
      </w:r>
      <w:r>
        <w:rPr>
          <w:rStyle w:val="Revised"/>
        </w:rPr>
        <w:t xml:space="preserve">; declining volume before exit fits an eroding commitment balance, though the register cannot distinguish waning enthusiasm from accumulating constraint.</w:t>
      </w:r>
      <w:r>
        <w:t xml:space="preserve"> </w:t>
      </w:r>
      <w:r>
        <w:t xml:space="preserve">Withdrawal-as-process accounts</w:t>
      </w:r>
      <w:r>
        <w:rPr>
          <w:vertAlign w:val="superscript"/>
        </w:rPr>
        <w:t xml:space="preserve">5,9</w:t>
      </w:r>
      <w:r>
        <w:t xml:space="preserve"> </w:t>
      </w:r>
      <w:r>
        <w:t xml:space="preserve">describe leaving as a gradual deliberative passage (first doubts, weighing of alternatives, a turning point) among athletes who remain formally involved: precisely what the exit-aligned trajectories show, a typical future dropout still competing, at reduced volume, for</w:t>
      </w:r>
      <w:r>
        <w:t xml:space="preserve"> </w:t>
      </w:r>
      <w:r>
        <w:rPr>
          <w:rStyle w:val="Revised"/>
        </w:rPr>
        <w:t xml:space="preserve">one or two</w:t>
      </w:r>
      <w:r>
        <w:t xml:space="preserve"> </w:t>
      </w:r>
      <w:r>
        <w:t xml:space="preserve">seasons before the final exit. The register cannot observe the deliberation, but it can now observe its behavioral shape,</w:t>
      </w:r>
      <w:r>
        <w:t xml:space="preserve"> </w:t>
      </w:r>
      <w:r>
        <w:rPr>
          <w:rStyle w:val="Revised"/>
        </w:rPr>
        <w:t xml:space="preserve">thinning participation before exit</w:t>
      </w:r>
      <w:r>
        <w:t xml:space="preserve">, at the individual level.</w:t>
      </w:r>
    </w:p>
    <w:p>
      <w:pPr>
        <w:pStyle w:val="BodyText"/>
      </w:pPr>
      <w:r>
        <w:t xml:space="preserve">Two readings of the same footprint deserve equal standing. Declining volume may mark</w:t>
      </w:r>
      <w:r>
        <w:t xml:space="preserve"> </w:t>
      </w:r>
      <w:r>
        <w:rPr>
          <w:i/>
          <w:iCs/>
        </w:rPr>
        <w:t xml:space="preserve">disengagement from sport</w:t>
      </w:r>
      <w:r>
        <w:t xml:space="preserve">, the commitment-erosion reading. It may also mark</w:t>
      </w:r>
      <w:r>
        <w:t xml:space="preserve"> </w:t>
      </w:r>
      <w:r>
        <w:rPr>
          <w:i/>
          <w:iCs/>
        </w:rPr>
        <w:t xml:space="preserve">engagement reallocation</w:t>
      </w:r>
      <w:r>
        <w:t xml:space="preserve">: ages 14–16 are precisely when Norwegian multi-sport youth consolidate into one sport, so for some athletes declining track-and-field volume signals rising commitment to handball or football rather than to nothing: the developmentally appropriate transitions that Battaglia et al.</w:t>
      </w:r>
      <w:r>
        <w:rPr>
          <w:vertAlign w:val="superscript"/>
        </w:rPr>
        <w:t xml:space="preserve">4</w:t>
      </w:r>
      <w:r>
        <w:t xml:space="preserve"> </w:t>
      </w:r>
      <w:r>
        <w:t xml:space="preserve">argue the dropout-as-crisis framing wrongly pathologizes. The register cannot separate the two</w:t>
      </w:r>
      <w:r>
        <w:rPr>
          <w:rStyle w:val="Revised"/>
        </w:rPr>
        <w:t xml:space="preserve">; Norwegian participation research is compatible with both, since</w:t>
      </w:r>
      <w:r>
        <w:t xml:space="preserve"> </w:t>
      </w:r>
      <w:r>
        <w:t xml:space="preserve">involvement is strongly stratified, from heavy to light,</w:t>
      </w:r>
      <w:r>
        <w:rPr>
          <w:vertAlign w:val="superscript"/>
        </w:rPr>
        <w:t xml:space="preserve">11,12</w:t>
      </w:r>
      <w:r>
        <w:t xml:space="preserve"> </w:t>
      </w:r>
      <w:r>
        <w:t xml:space="preserve">and exit from organized sport can itself reclaim time and autonomy rather than mark a loss.</w:t>
      </w:r>
      <w:r>
        <w:rPr>
          <w:vertAlign w:val="superscript"/>
        </w:rPr>
        <w:t xml:space="preserve">12</w:t>
      </w:r>
      <w:r>
        <w:t xml:space="preserve"> </w:t>
      </w:r>
      <w:r>
        <w:t xml:space="preserve">What the register demonstrates is that</w:t>
      </w:r>
      <w:r>
        <w:t xml:space="preserve"> </w:t>
      </w:r>
      <w:r>
        <w:rPr>
          <w:i/>
          <w:iCs/>
        </w:rPr>
        <w:t xml:space="preserve">some</w:t>
      </w:r>
      <w:r>
        <w:t xml:space="preserve"> </w:t>
      </w:r>
      <w:r>
        <w:t xml:space="preserve">mechanism (erosion, reallocation, or constraint) leaves a footprint readable in registered activity</w:t>
      </w:r>
      <w:r>
        <w:t xml:space="preserve"> </w:t>
      </w:r>
      <w:r>
        <w:rPr>
          <w:rStyle w:val="Revised"/>
        </w:rPr>
        <w:t xml:space="preserve">before</w:t>
      </w:r>
      <w:r>
        <w:t xml:space="preserve"> </w:t>
      </w:r>
      <w:r>
        <w:t xml:space="preserve">exit.</w:t>
      </w:r>
    </w:p>
    <w:bookmarkEnd w:id="48"/>
    <w:bookmarkStart w:id="49" w:name="sex-effect"/>
    <w:p>
      <w:pPr>
        <w:pStyle w:val="Heading2"/>
      </w:pPr>
      <w:r>
        <w:t xml:space="preserve">4.5 Sex effect</w:t>
      </w:r>
    </w:p>
    <w:p>
      <w:pPr>
        <w:pStyle w:val="FirstParagraph"/>
      </w:pPr>
      <w:r>
        <w:t xml:space="preserve">The sex pattern differs by specification, informatively. Unadjusted, Kaplan–Meier curves showed no clear sex difference (log-rank</w:t>
      </w:r>
      <w:r>
        <w:t xml:space="preserve"> </w:t>
      </w:r>
      <w:r>
        <w:rPr>
          <w:i/>
          <w:iCs/>
        </w:rPr>
        <w:t xml:space="preserve">p</w:t>
      </w:r>
      <w:r>
        <w:t xml:space="preserve"> </w:t>
      </w:r>
      <w:r>
        <w:t xml:space="preserve">=</w:t>
      </w:r>
      <w:r>
        <w:t xml:space="preserve"> </w:t>
      </w:r>
      <w:r>
        <w:rPr>
          <w:rStyle w:val="Revised"/>
        </w:rPr>
        <w:t xml:space="preserve">.42</w:t>
      </w:r>
      <w:r>
        <w:t xml:space="preserve">); adjusted, females retained at significantly lower odds in every layer of the primary model (OR =</w:t>
      </w:r>
      <w:r>
        <w:t xml:space="preserve"> </w:t>
      </w:r>
      <w:r>
        <w:rPr>
          <w:rStyle w:val="Revised"/>
        </w:rPr>
        <w:t xml:space="preserve">0.75</w:t>
      </w:r>
      <w:r>
        <w:t xml:space="preserve"> </w:t>
      </w:r>
      <w:r>
        <w:t xml:space="preserve">sex-only,</w:t>
      </w:r>
      <w:r>
        <w:t xml:space="preserve"> </w:t>
      </w:r>
      <w:r>
        <w:rPr>
          <w:rStyle w:val="Revised"/>
        </w:rPr>
        <w:t xml:space="preserve">0.56</w:t>
      </w:r>
      <w:r>
        <w:t xml:space="preserve"> </w:t>
      </w:r>
      <w:r>
        <w:t xml:space="preserve">full model; Table 3)</w:t>
      </w:r>
      <w:r>
        <w:t xml:space="preserve"> </w:t>
      </w:r>
      <w:r>
        <w:rPr>
          <w:rStyle w:val="Revised"/>
        </w:rPr>
        <w:t xml:space="preserve">and in both cohorts</w:t>
      </w:r>
      <w:r>
        <w:t xml:space="preserve">:</w:t>
      </w:r>
      <w:r>
        <w:t xml:space="preserve"> </w:t>
      </w:r>
      <w:r>
        <w:rPr>
          <w:i/>
          <w:iCs/>
        </w:rPr>
        <w:t xml:space="preserve">conditional on the same early volume, concentration, and performance</w:t>
      </w:r>
      <w:r>
        <w:t xml:space="preserve">, girls were less likely to remain, their higher early volumes partially masking the gap. The behavioral mechanism itself was similar across sexes (milestone-window volume HR =</w:t>
      </w:r>
      <w:r>
        <w:t xml:space="preserve"> </w:t>
      </w:r>
      <w:r>
        <w:rPr>
          <w:rStyle w:val="Revised"/>
        </w:rPr>
        <w:t xml:space="preserve">0.46</w:t>
      </w:r>
      <w:r>
        <w:t xml:space="preserve"> </w:t>
      </w:r>
      <w:r>
        <w:t xml:space="preserve">for males and 0.45 for females; Supplementary Table S7), so the residual sex effect operates</w:t>
      </w:r>
      <w:r>
        <w:t xml:space="preserve"> </w:t>
      </w:r>
      <w:r>
        <w:rPr>
          <w:i/>
          <w:iCs/>
        </w:rPr>
        <w:t xml:space="preserve">above</w:t>
      </w:r>
      <w:r>
        <w:t xml:space="preserve">, not</w:t>
      </w:r>
      <w:r>
        <w:t xml:space="preserve"> </w:t>
      </w:r>
      <w:r>
        <w:rPr>
          <w:i/>
          <w:iCs/>
        </w:rPr>
        <w:t xml:space="preserve">through</w:t>
      </w:r>
      <w:r>
        <w:t xml:space="preserve">, the behavioral pathway. This complements survey reports of higher female dropout</w:t>
      </w:r>
      <w:r>
        <w:rPr>
          <w:vertAlign w:val="superscript"/>
        </w:rPr>
        <w:t xml:space="preserve">11</w:t>
      </w:r>
      <w:r>
        <w:t xml:space="preserve"> </w:t>
      </w:r>
      <w:r>
        <w:t xml:space="preserve">and the clearly higher female attrition in Enoksen’s</w:t>
      </w:r>
      <w:r>
        <w:rPr>
          <w:vertAlign w:val="superscript"/>
        </w:rPr>
        <w:t xml:space="preserve">3</w:t>
      </w:r>
      <w:r>
        <w:t xml:space="preserve"> </w:t>
      </w:r>
      <w:r>
        <w:t xml:space="preserve">historical cohort.</w:t>
      </w:r>
    </w:p>
    <w:bookmarkEnd w:id="49"/>
    <w:bookmarkStart w:id="50" w:name="Xd8ded050b43dd1860dfb50ea2f396f3b413cf9a"/>
    <w:p>
      <w:pPr>
        <w:pStyle w:val="Heading2"/>
      </w:pPr>
      <w:r>
        <w:t xml:space="preserve">4.6 Within-sport event concentration is a different construct from multisport diversification</w:t>
      </w:r>
    </w:p>
    <w:p>
      <w:pPr>
        <w:pStyle w:val="FirstParagraph"/>
      </w:pPr>
      <w:r>
        <w:t xml:space="preserve">Event-category concentration at ages 13–14</w:t>
      </w:r>
      <w:r>
        <w:t xml:space="preserve"> </w:t>
      </w:r>
      <w:r>
        <w:rPr>
          <w:rStyle w:val="Revised"/>
        </w:rPr>
        <w:t xml:space="preserve">was associated with greater senior retention only conditional on volume, only in the younger cohort, without discriminative value, and not once performance in the athlete’s main event was controlled (Section 3.9): concentrated athletes tend to be those who do well in their main event, and concentration itself adds little</w:t>
      </w:r>
      <w:r>
        <w:t xml:space="preserve">. That finding should not be read against the diversification literature, which concerns diversification</w:t>
      </w:r>
      <w:r>
        <w:t xml:space="preserve"> </w:t>
      </w:r>
      <w:r>
        <w:rPr>
          <w:i/>
          <w:iCs/>
        </w:rPr>
        <w:t xml:space="preserve">across sports</w:t>
      </w:r>
      <w:r>
        <w:t xml:space="preserve">: sampling versus single-sport specialization and its consequences for elite performance and health.</w:t>
      </w:r>
      <w:r>
        <w:rPr>
          <w:vertAlign w:val="superscript"/>
        </w:rPr>
        <w:t xml:space="preserve">18,19</w:t>
      </w:r>
      <w:r>
        <w:t xml:space="preserve"> </w:t>
      </w:r>
      <w:r>
        <w:t xml:space="preserve">Our HHI measures concentration</w:t>
      </w:r>
      <w:r>
        <w:t xml:space="preserve"> </w:t>
      </w:r>
      <w:r>
        <w:rPr>
          <w:i/>
          <w:iCs/>
        </w:rPr>
        <w:t xml:space="preserve">within</w:t>
      </w:r>
      <w:r>
        <w:t xml:space="preserve"> </w:t>
      </w:r>
      <w:r>
        <w:t xml:space="preserve">one sport, conditional on already participating in it, and the register says nothing about other sports: an athlete concentrated within track and field may simultaneously be a multisport sampler.</w:t>
      </w:r>
      <w:r>
        <w:t xml:space="preserve"> </w:t>
      </w:r>
      <w:r>
        <w:rPr>
          <w:rStyle w:val="Revised"/>
        </w:rPr>
        <w:t xml:space="preserve">The across-sport evidence is also less settled than often assumed: in youth swimming, early-specialization markers were</w:t>
      </w:r>
      <w:r>
        <w:rPr>
          <w:rStyle w:val="Revised"/>
        </w:rPr>
        <w:t xml:space="preserve"> </w:t>
      </w:r>
      <w:r>
        <w:rPr>
          <w:rStyle w:val="Revised"/>
          <w:i/>
          <w:iCs/>
        </w:rPr>
        <w:t xml:space="preserve">not</w:t>
      </w:r>
      <w:r>
        <w:rPr>
          <w:rStyle w:val="Revised"/>
        </w:rPr>
        <w:t xml:space="preserve"> </w:t>
      </w:r>
      <w:r>
        <w:rPr>
          <w:rStyle w:val="Revised"/>
        </w:rPr>
        <w:t xml:space="preserve">positively related to burnout and dropout,</w:t>
      </w:r>
      <w:r>
        <w:rPr>
          <w:rStyle w:val="Revised"/>
          <w:vertAlign w:val="superscript"/>
        </w:rPr>
        <w:t xml:space="preserve">36</w:t>
      </w:r>
      <w:r>
        <w:rPr>
          <w:rStyle w:val="Revised"/>
        </w:rPr>
        <w:t xml:space="preserve"> </w:t>
      </w:r>
      <w:r>
        <w:rPr>
          <w:rStyle w:val="Revised"/>
        </w:rPr>
        <w:t xml:space="preserve">and blanket condemnation of early specialization has been argued to outrun the evidence.</w:t>
      </w:r>
      <w:r>
        <w:rPr>
          <w:rStyle w:val="Revised"/>
          <w:vertAlign w:val="superscript"/>
        </w:rPr>
        <w:t xml:space="preserve">37</w:t>
      </w:r>
      <w:r>
        <w:t xml:space="preserve"> </w:t>
      </w:r>
      <w:r>
        <w:t xml:space="preserve">The outcome also differs (retention at 20, not elite performance)</w:t>
      </w:r>
      <w:r>
        <w:rPr>
          <w:rStyle w:val="Revised"/>
        </w:rPr>
        <w:t xml:space="preserve">, and the association that remains is largely accounted for by main-event performance (OR = 1.07 [0.94, 1.23] when primary-category Tyrving is added; Supplementary Table S18)</w:t>
      </w:r>
      <w:r>
        <w:t xml:space="preserve">. Governing bodies should read this neither as a license to push early specialization nor as grounds for forced diversification among motivated adolescents.</w:t>
      </w:r>
    </w:p>
    <w:bookmarkEnd w:id="50"/>
    <w:bookmarkStart w:id="51" w:name="what-registers-bring"/>
    <w:p>
      <w:pPr>
        <w:pStyle w:val="Heading2"/>
      </w:pPr>
      <w:r>
        <w:t xml:space="preserve">4.7 What registers bring</w:t>
      </w:r>
    </w:p>
    <w:p>
      <w:pPr>
        <w:pStyle w:val="FirstParagraph"/>
      </w:pPr>
      <w:r>
        <w:rPr>
          <w:rStyle w:val="Revised"/>
        </w:rPr>
        <w:t xml:space="preserve">Registers address two structural problems in dropout research: withdrawn athletes are hard to recruit, and retrospective accounts compress a continuous process into a remembered decision. They bring no new theory, but a longitudinal behavioral test of theories built largely on cross-sectional or short-prospective evidence: here a well-calibrated baseline-only signal (AUC = 0.767, unchanged under club-grouped validation), an internal cohort replication, and an E-value of ≈2.2.</w:t>
      </w:r>
    </w:p>
    <w:bookmarkEnd w:id="51"/>
    <w:bookmarkStart w:id="52" w:name="implications-for-practitioners"/>
    <w:p>
      <w:pPr>
        <w:pStyle w:val="Heading2"/>
      </w:pPr>
      <w:r>
        <w:t xml:space="preserve">4.8 Implications for practitioners</w:t>
      </w:r>
    </w:p>
    <w:p>
      <w:pPr>
        <w:pStyle w:val="FirstParagraph"/>
      </w:pPr>
      <w:r>
        <w:t xml:space="preserve">The practical deliverable is a</w:t>
      </w:r>
      <w:r>
        <w:t xml:space="preserve"> </w:t>
      </w:r>
      <w:r>
        <w:rPr>
          <w:i/>
          <w:iCs/>
        </w:rPr>
        <w:t xml:space="preserve">testable targeting rule</w:t>
      </w:r>
      <w:r>
        <w:t xml:space="preserve">, not a finished intervention: the register can say precisely</w:t>
      </w:r>
      <w:r>
        <w:t xml:space="preserve"> </w:t>
      </w:r>
      <w:r>
        <w:rPr>
          <w:i/>
          <w:iCs/>
        </w:rPr>
        <w:t xml:space="preserve">whom</w:t>
      </w:r>
      <w:r>
        <w:t xml:space="preserve"> </w:t>
      </w:r>
      <w:r>
        <w:t xml:space="preserve">retention support would reach and how early; whether such support works is the pilot question in §4.10. Four implications follow.</w:t>
      </w:r>
    </w:p>
    <w:p>
      <w:pPr>
        <w:pStyle w:val="BodyText"/>
      </w:pPr>
      <w:r>
        <w:rPr>
          <w:b/>
          <w:bCs/>
        </w:rPr>
        <w:t xml:space="preserve">(1) Register-based flagging at the end of the age-14 season.</w:t>
      </w:r>
      <w:r>
        <w:t xml:space="preserve"> </w:t>
      </w:r>
      <w:r>
        <w:t xml:space="preserve">Flag athletes whose ages-13–14 competition count falls below a</w:t>
      </w:r>
      <w:r>
        <w:t xml:space="preserve"> </w:t>
      </w:r>
      <w:r>
        <w:rPr>
          <w:rStyle w:val="Revised"/>
        </w:rPr>
        <w:t xml:space="preserve">candidate</w:t>
      </w:r>
      <w:r>
        <w:t xml:space="preserve"> </w:t>
      </w:r>
      <w:r>
        <w:t xml:space="preserve">threshold. At &lt; 10 meets, the flag captures</w:t>
      </w:r>
      <w:r>
        <w:t xml:space="preserve"> </w:t>
      </w:r>
      <w:r>
        <w:rPr>
          <w:rStyle w:val="Revised"/>
        </w:rPr>
        <w:t xml:space="preserve">27%</w:t>
      </w:r>
      <w:r>
        <w:t xml:space="preserve"> </w:t>
      </w:r>
      <w:r>
        <w:t xml:space="preserve">of the cohort whose senior retention is</w:t>
      </w:r>
      <w:r>
        <w:t xml:space="preserve"> </w:t>
      </w:r>
      <w:r>
        <w:rPr>
          <w:rStyle w:val="Revised"/>
        </w:rPr>
        <w:t xml:space="preserve">5.5%</w:t>
      </w:r>
      <w:r>
        <w:t xml:space="preserve">, versus</w:t>
      </w:r>
      <w:r>
        <w:t xml:space="preserve"> </w:t>
      </w:r>
      <w:r>
        <w:rPr>
          <w:rStyle w:val="Revised"/>
        </w:rPr>
        <w:t xml:space="preserve">20.3%</w:t>
      </w:r>
      <w:r>
        <w:t xml:space="preserve"> </w:t>
      </w:r>
      <w:r>
        <w:t xml:space="preserve">among the unflagged, a</w:t>
      </w:r>
      <w:r>
        <w:t xml:space="preserve"> </w:t>
      </w:r>
      <w:r>
        <w:rPr>
          <w:rStyle w:val="Revised"/>
        </w:rPr>
        <w:t xml:space="preserve">3.7-fold</w:t>
      </w:r>
      <w:r>
        <w:t xml:space="preserve"> </w:t>
      </w:r>
      <w:r>
        <w:t xml:space="preserve">difference computed automatically from data the federation already holds (Table 6</w:t>
      </w:r>
      <w:r>
        <w:rPr>
          <w:rStyle w:val="Revised"/>
        </w:rPr>
        <w:t xml:space="preserve">; similar when derived in one birth cohort and applied to the other, Supplementary Table S29</w:t>
      </w:r>
      <w:r>
        <w:t xml:space="preserve">). Every flagged athlete is low-but-active (cohort entry guarantees a baseline meet), so the flag list is an outreach list, and the threshold behaves similarly against an activity-at-17 outcome (14% vs 51% still active). Two numbers discipline its use: sensitivity is</w:t>
      </w:r>
      <w:r>
        <w:t xml:space="preserve"> </w:t>
      </w:r>
      <w:r>
        <w:rPr>
          <w:rStyle w:val="Revised"/>
        </w:rPr>
        <w:t xml:space="preserve">0.31</w:t>
      </w:r>
      <w:r>
        <w:t xml:space="preserve">, so most future dropouts are</w:t>
      </w:r>
      <w:r>
        <w:t xml:space="preserve"> </w:t>
      </w:r>
      <w:r>
        <w:rPr>
          <w:i/>
          <w:iCs/>
        </w:rPr>
        <w:t xml:space="preserve">not</w:t>
      </w:r>
      <w:r>
        <w:t xml:space="preserve"> </w:t>
      </w:r>
      <w:r>
        <w:t xml:space="preserve">flagged, and unflagged athletes’ own retention is only ~20%. A flag concentrates risk; its absence reassures no one, so flagging should</w:t>
      </w:r>
      <w:r>
        <w:t xml:space="preserve"> </w:t>
      </w:r>
      <w:r>
        <w:rPr>
          <w:i/>
          <w:iCs/>
        </w:rPr>
        <w:t xml:space="preserve">prioritize</w:t>
      </w:r>
      <w:r>
        <w:t xml:space="preserve"> </w:t>
      </w:r>
      <w:r>
        <w:t xml:space="preserve">outreach, not substitute for population-wide provision.</w:t>
      </w:r>
    </w:p>
    <w:p>
      <w:pPr>
        <w:pStyle w:val="BodyText"/>
      </w:pPr>
      <w:r>
        <w:rPr>
          <w:b/>
          <w:bCs/>
        </w:rPr>
        <w:t xml:space="preserve">(2) Flag again after age 15 using within-athlete change.</w:t>
      </w:r>
      <w:r>
        <w:t xml:space="preserve"> </w:t>
      </w:r>
      <w:r>
        <w:t xml:space="preserve">Level and change carry independent information (Section 3.5): screen on level at end of age 14 and on change at end of age 15, the latter just after the first selective gate and ahead of the</w:t>
      </w:r>
      <w:r>
        <w:t xml:space="preserve"> </w:t>
      </w:r>
      <w:r>
        <w:rPr>
          <w:rStyle w:val="Revised"/>
        </w:rPr>
        <w:t xml:space="preserve">junior years, when the annual exit rate peaks</w:t>
      </w:r>
      <w:r>
        <w:t xml:space="preserve">.</w:t>
      </w:r>
    </w:p>
    <w:p>
      <w:pPr>
        <w:pStyle w:val="BodyText"/>
      </w:pPr>
      <w:r>
        <w:rPr>
          <w:b/>
          <w:bCs/>
        </w:rPr>
        <w:t xml:space="preserve">(3) Lower the cost side of the next competition cycle, as an offer and never as pressure.</w:t>
      </w:r>
      <w:r>
        <w:t xml:space="preserve"> </w:t>
      </w:r>
      <w:r>
        <w:t xml:space="preserve">With entry fees club-paid and travel short (Section 2.2), the remaining levers are residual and psychological costs: membership and equipment support, coach-accompanied transport, low-stakes practice meets, and an explicit signal that participation is welcome regardless of performance.</w:t>
      </w:r>
      <w:r>
        <w:rPr>
          <w:vertAlign w:val="superscript"/>
        </w:rPr>
        <w:t xml:space="preserve">6,7</w:t>
      </w:r>
      <w:r>
        <w:t xml:space="preserve"> </w:t>
      </w:r>
      <w:r>
        <w:t xml:space="preserve">The register cannot distinguish athletes who are blocked from athletes choosing other priorities, for whom retention pressure would be misplaced; understanding</w:t>
      </w:r>
      <w:r>
        <w:t xml:space="preserve"> </w:t>
      </w:r>
      <w:r>
        <w:rPr>
          <w:i/>
          <w:iCs/>
        </w:rPr>
        <w:t xml:space="preserve">why</w:t>
      </w:r>
      <w:r>
        <w:t xml:space="preserve"> </w:t>
      </w:r>
      <w:r>
        <w:t xml:space="preserve">still requires conversation, for which commitment instruments such as the SCQ-2 complement the register.</w:t>
      </w:r>
    </w:p>
    <w:p>
      <w:pPr>
        <w:pStyle w:val="BodyText"/>
      </w:pPr>
      <w:r>
        <w:rPr>
          <w:b/>
          <w:bCs/>
        </w:rPr>
        <w:t xml:space="preserve">(4) Be cautious about prescribing event diversification for retention.</w:t>
      </w:r>
      <w:r>
        <w:t xml:space="preserve"> </w:t>
      </w:r>
      <w:r>
        <w:t xml:space="preserve">Within-sport concentration</w:t>
      </w:r>
      <w:r>
        <w:t xml:space="preserve"> </w:t>
      </w:r>
      <w:r>
        <w:rPr>
          <w:rStyle w:val="Revised"/>
        </w:rPr>
        <w:t xml:space="preserve">was not associated with lower</w:t>
      </w:r>
      <w:r>
        <w:t xml:space="preserve"> </w:t>
      </w:r>
      <w:r>
        <w:t xml:space="preserve">retention (§4.6); federations should not assume diversification pressure aids retention in this age group.</w:t>
      </w:r>
    </w:p>
    <w:p>
      <w:pPr>
        <w:pStyle w:val="BodyText"/>
      </w:pPr>
      <w:r>
        <w:rPr>
          <w:b/>
          <w:bCs/>
        </w:rPr>
        <w:t xml:space="preserve">Governance preconditions.</w:t>
      </w:r>
      <w:r>
        <w:t xml:space="preserve"> </w:t>
      </w:r>
      <w:r>
        <w:t xml:space="preserve">Operational flagging means algorithmic risk-profiling of minors, and the research-ethics exemption this study relies on (Section 2.7) licenses none of it. Deployment would require a federation’s own legal basis and a data-protection impact assessment; flags visible to a designated officer rather than routinely to coaches (avoiding expectancy and labeling effects); informed families with an opt-out; a retention limit for flag data; and attention to equity, which the register cannot audit. That the screen runs without athlete contact is a transparency problem to solve, not a feature, and the flag must be support-only: the same list that identifies whom to help could identify whom a stretched club quietly deprioritizes. These preconditions, and the untested intervention effect, are why the next step is the pilot of §4.10 rather than adoption.</w:t>
      </w:r>
    </w:p>
    <w:bookmarkEnd w:id="52"/>
    <w:bookmarkStart w:id="53" w:name="limitations"/>
    <w:p>
      <w:pPr>
        <w:pStyle w:val="Heading2"/>
      </w:pPr>
      <w:r>
        <w:t xml:space="preserve">4.9 Limitations</w:t>
      </w:r>
    </w:p>
    <w:p>
      <w:pPr>
        <w:pStyle w:val="FirstParagraph"/>
      </w:pPr>
      <w:r>
        <w:t xml:space="preserve">First, the outcome indexes</w:t>
      </w:r>
      <w:r>
        <w:t xml:space="preserve"> </w:t>
      </w:r>
      <w:r>
        <w:rPr>
          <w:i/>
          <w:iCs/>
        </w:rPr>
        <w:t xml:space="preserve">attrition from track-and-field competition</w:t>
      </w:r>
      <w:r>
        <w:t xml:space="preserve">, not from sport: a sport-switcher counts as a dropout, and the reallocation share is unbounded (§4.4). Second, the register records official results, not subjective experience, nor injury, a leading cause of attrition in this sport</w:t>
      </w:r>
      <w:r>
        <w:rPr>
          <w:vertAlign w:val="superscript"/>
        </w:rPr>
        <w:t xml:space="preserve">3</w:t>
      </w:r>
      <w:r>
        <w:t xml:space="preserve">; part of the</w:t>
      </w:r>
      <w:r>
        <w:t xml:space="preserve"> </w:t>
      </w:r>
      <w:r>
        <w:rPr>
          <w:rStyle w:val="Revised"/>
        </w:rPr>
        <w:t xml:space="preserve">decline</w:t>
      </w:r>
      <w:r>
        <w:t xml:space="preserve"> </w:t>
      </w:r>
      <w:r>
        <w:t xml:space="preserve">is therefore plausibly non-volitional, and the qualitative literature remains essential for</w:t>
      </w:r>
      <w:r>
        <w:t xml:space="preserve"> </w:t>
      </w:r>
      <w:r>
        <w:rPr>
          <w:i/>
          <w:iCs/>
        </w:rPr>
        <w:t xml:space="preserve">why</w:t>
      </w:r>
      <w:r>
        <w:t xml:space="preserve"> </w:t>
      </w:r>
      <w:r>
        <w:t xml:space="preserve">volume declines. Third,</w:t>
      </w:r>
      <w:r>
        <w:t xml:space="preserve"> </w:t>
      </w:r>
      <w:r>
        <w:rPr>
          <w:rStyle w:val="Revised"/>
        </w:rPr>
        <w:t xml:space="preserve">the target population is the engaged core, athletes entered for the national 13–14 meet (29% of register athletes with a result at 13–14, but 80% of eventual seniors), not all young athletes; among casual participants outside the cohort, volume was also associated with retention (OR = 2.17 per 10 meets; Supplementary Table S31), but the thresholds and absolute rates apply to the engaged core. The</w:t>
      </w:r>
      <w:r>
        <w:t xml:space="preserve"> </w:t>
      </w:r>
      <w:r>
        <w:t xml:space="preserve">three venues cover eastern, western, and mid Norway, with northern districts served by the mid-Norway venue. Fourth, predictor and outcome share a measurement scale; despite the baseline-only model,</w:t>
      </w:r>
      <w:r>
        <w:t xml:space="preserve"> </w:t>
      </w:r>
      <w:r>
        <w:rPr>
          <w:rStyle w:val="Revised"/>
        </w:rPr>
        <w:t xml:space="preserve">the change models, the exit-aligned and fixed-effects analyses, and the landmark analysis</w:t>
      </w:r>
      <w:r>
        <w:t xml:space="preserve">, structural overlap remains a conceptual limitation of register-only designs. Fifth, the post-baseline Cox specification violated proportional hazards (Schoenfeld χ² =</w:t>
      </w:r>
      <w:r>
        <w:t xml:space="preserve"> </w:t>
      </w:r>
      <w:r>
        <w:rPr>
          <w:rStyle w:val="Revised"/>
        </w:rPr>
        <w:t xml:space="preserve">293.2</w:t>
      </w:r>
      <w:r>
        <w:t xml:space="preserve">); its estimates are descriptive only. Sixth,</w:t>
      </w:r>
      <w:r>
        <w:t xml:space="preserve"> </w:t>
      </w:r>
      <w:r>
        <w:rPr>
          <w:rStyle w:val="Revised"/>
        </w:rPr>
        <w:t xml:space="preserve">Tyrving norms are not equally demanding across event groups (throws and race walking score lower), and</w:t>
      </w:r>
      <w:r>
        <w:t xml:space="preserve"> </w:t>
      </w:r>
      <w:r>
        <w:t xml:space="preserve">the HHI treats event categories symmetrically although they co-occur unevenly (98% of hurdlers also sprinted), so identical values can represent different combination patterns. Seventh, the youngest cohort has at most four post-senior years of observation, though the fixed-window outcome gives near-identical results. Eighth, the thresholds are</w:t>
      </w:r>
      <w:r>
        <w:t xml:space="preserve"> </w:t>
      </w:r>
      <w:r>
        <w:rPr>
          <w:rStyle w:val="Revised"/>
        </w:rPr>
        <w:t xml:space="preserve">candidates</w:t>
      </w:r>
      <w:r>
        <w:t xml:space="preserve"> </w:t>
      </w:r>
      <w:r>
        <w:t xml:space="preserve">calibrated to a complete-register, open-entry, club-pays system</w:t>
      </w:r>
      <w:r>
        <w:rPr>
          <w:rStyle w:val="Revised"/>
        </w:rPr>
        <w:t xml:space="preserve">;</w:t>
      </w:r>
      <w:r>
        <w:t xml:space="preserve"> </w:t>
      </w:r>
      <w:r>
        <w:t xml:space="preserve">they do not transfer to coach-gated or pay-to-play systems without re-derivation, and no intervention effect has been demonstrated: §4.8 is targeting logic, not evaluated policy.</w:t>
      </w:r>
    </w:p>
    <w:bookmarkEnd w:id="53"/>
    <w:bookmarkStart w:id="54" w:name="future-directions"/>
    <w:p>
      <w:pPr>
        <w:pStyle w:val="Heading2"/>
      </w:pPr>
      <w:r>
        <w:t xml:space="preserve">4.10 Future directions</w:t>
      </w:r>
    </w:p>
    <w:p>
      <w:pPr>
        <w:pStyle w:val="FirstParagraph"/>
      </w:pPr>
      <w:r>
        <w:t xml:space="preserve">The central next step is a quasi-experimental pilot: federation outreach to athletes with low but non-zero pre-milestone volume (1 ≤ vol &lt; 10), a designated flag recipient per club, pre-registered outcomes, and stakeholder consultation (athletes’ councils, parents, club volunteers). Further extensions: linking the behavioral signal to commitment instruments in active athletes, and cross-sport generalization where registers are less complete.</w:t>
      </w:r>
    </w:p>
    <w:bookmarkEnd w:id="54"/>
    <w:bookmarkStart w:id="55" w:name="conclusion"/>
    <w:p>
      <w:pPr>
        <w:pStyle w:val="Heading2"/>
      </w:pPr>
      <w:r>
        <w:t xml:space="preserve">4.11 Conclusion</w:t>
      </w:r>
    </w:p>
    <w:p>
      <w:pPr>
        <w:pStyle w:val="FirstParagraph"/>
      </w:pPr>
      <w:r>
        <w:t xml:space="preserve">Senior retention in Norwegian youth track and field is prospectively associated with baseline-window competition behavior: athletes who already compete more at ages 13–14 retain at substantially higher rates, and those who decline retain at substantially lower rates. The decline is visible within athletes</w:t>
      </w:r>
      <w:r>
        <w:t xml:space="preserve"> </w:t>
      </w:r>
      <w:r>
        <w:rPr>
          <w:rStyle w:val="Revised"/>
        </w:rPr>
        <w:t xml:space="preserve">in the seasons</w:t>
      </w:r>
      <w:r>
        <w:t xml:space="preserve"> </w:t>
      </w:r>
      <w:r>
        <w:t xml:space="preserve">before exit, and is no averaging artifact. The effect withstands structural, club-level, missing-data, and outcome-definition checks and</w:t>
      </w:r>
      <w:r>
        <w:t xml:space="preserve"> </w:t>
      </w:r>
      <w:r>
        <w:rPr>
          <w:rStyle w:val="Revised"/>
        </w:rPr>
        <w:t xml:space="preserve">is reproduced in both birth cohorts</w:t>
      </w:r>
      <w:r>
        <w:t xml:space="preserve">; early heterogeneity and</w:t>
      </w:r>
      <w:r>
        <w:t xml:space="preserve"> </w:t>
      </w:r>
      <w:r>
        <w:rPr>
          <w:rStyle w:val="Revised"/>
        </w:rPr>
        <w:t xml:space="preserve">within-athlete decline</w:t>
      </w:r>
      <w:r>
        <w:t xml:space="preserve"> </w:t>
      </w:r>
      <w:r>
        <w:t xml:space="preserve">contribute independently</w:t>
      </w:r>
      <w:r>
        <w:rPr>
          <w:rStyle w:val="Revised"/>
        </w:rPr>
        <w:t xml:space="preserve">, and baseline performance adds complementary information</w:t>
      </w:r>
      <w:r>
        <w:t xml:space="preserve">. The findings are consistent with, though do not by themselves confirm, accounts of withdrawal as a gradual deliberative process, and they yield a register-implementable targeting rule whose intervention value, under the governance preconditions above, is now a testable question.</w:t>
      </w:r>
    </w:p>
    <w:p>
      <w:r>
        <w:pict>
          <v:rect style="width:0;height:1.5pt" o:hralign="center" o:hrstd="t" o:hr="t"/>
        </w:pict>
      </w:r>
    </w:p>
    <w:bookmarkEnd w:id="55"/>
    <w:bookmarkStart w:id="56" w:name="acknowledgements"/>
    <w:p>
      <w:pPr>
        <w:pStyle w:val="Heading2"/>
      </w:pPr>
      <w:r>
        <w:t xml:space="preserve">Acknowledgements</w:t>
      </w:r>
    </w:p>
    <w:p>
      <w:pPr>
        <w:pStyle w:val="FirstParagraph"/>
      </w:pPr>
      <w:r>
        <w:t xml:space="preserve">During the preparation of this work the author used Claude Code (Anthropic), an AI-assisted writing and analysis tool, to assist with implementing statistical analyses in Python, generating figures using matplotlib, and editing the manuscript text for clarity and consistency. After using this tool, the author reviewed and edited the content as needed and takes full responsibility for the content of the published article. All scientific decisions, interpretations, and conclusions are the author’s own. This use is also declared in the cover letter, per journal policy.</w:t>
      </w:r>
    </w:p>
    <w:bookmarkEnd w:id="56"/>
    <w:bookmarkStart w:id="63" w:name="statements-and-declarations"/>
    <w:p>
      <w:pPr>
        <w:pStyle w:val="Heading2"/>
      </w:pPr>
      <w:r>
        <w:t xml:space="preserve">Statements and Declarations</w:t>
      </w:r>
    </w:p>
    <w:bookmarkStart w:id="57" w:name="ethical-considerations"/>
    <w:p>
      <w:pPr>
        <w:pStyle w:val="Heading3"/>
      </w:pPr>
      <w:r>
        <w:t xml:space="preserve">Ethical considerations</w:t>
      </w:r>
    </w:p>
    <w:p>
      <w:pPr>
        <w:pStyle w:val="FirstParagraph"/>
      </w:pPr>
      <w:r>
        <w:t xml:space="preserve">Ethics committee approval was not required for this study. The competition records analyzed are publicly accessible via the Norwegian Athletics Federation’s online register, and Norway’s Health Research Act (Helseforskningsloven §4) exempts secondary use of register-based data of this kind from formal approval by a Regional Committee for Medical and Health Research Ethics (see Methods, Section 2.7). The derived analysis dataset links the public records to athlete dates of birth and is therefore handled as personal data under the EU General Data Protection Regulation (GDPR); it is not redistributed, and no personally identifying information about individual athletes is reported in this manuscript.</w:t>
      </w:r>
    </w:p>
    <w:bookmarkEnd w:id="57"/>
    <w:bookmarkStart w:id="58" w:name="consent-to-participate"/>
    <w:p>
      <w:pPr>
        <w:pStyle w:val="Heading3"/>
      </w:pPr>
      <w:r>
        <w:t xml:space="preserve">Consent to participate</w:t>
      </w:r>
    </w:p>
    <w:p>
      <w:pPr>
        <w:pStyle w:val="FirstParagraph"/>
      </w:pPr>
      <w:r>
        <w:t xml:space="preserve">Not applicable. The study is a secondary analysis of publicly accessible competition records; no participants were contacted or recruited.</w:t>
      </w:r>
    </w:p>
    <w:bookmarkEnd w:id="58"/>
    <w:bookmarkStart w:id="59" w:name="consent-for-publication"/>
    <w:p>
      <w:pPr>
        <w:pStyle w:val="Heading3"/>
      </w:pPr>
      <w:r>
        <w:t xml:space="preserve">Consent for publication</w:t>
      </w:r>
    </w:p>
    <w:p>
      <w:pPr>
        <w:pStyle w:val="FirstParagraph"/>
      </w:pPr>
      <w:r>
        <w:t xml:space="preserve">Not applicable. The manuscript contains no identifiable data relating to any individual person.</w:t>
      </w:r>
    </w:p>
    <w:bookmarkEnd w:id="59"/>
    <w:bookmarkStart w:id="60" w:name="declaration-of-conflicting-interest"/>
    <w:p>
      <w:pPr>
        <w:pStyle w:val="Heading3"/>
      </w:pPr>
      <w:r>
        <w:t xml:space="preserve">Declaration of conflicting interest</w:t>
      </w:r>
    </w:p>
    <w:p>
      <w:pPr>
        <w:pStyle w:val="FirstParagraph"/>
      </w:pPr>
      <w:r>
        <w:t xml:space="preserve">The author(s) declared no potential conflicts of interest with respect to the research, authorship, and/or publication of this article.</w:t>
      </w:r>
    </w:p>
    <w:bookmarkEnd w:id="60"/>
    <w:bookmarkStart w:id="61" w:name="funding-statement"/>
    <w:p>
      <w:pPr>
        <w:pStyle w:val="Heading3"/>
      </w:pPr>
      <w:r>
        <w:t xml:space="preserve">Funding statement</w:t>
      </w:r>
    </w:p>
    <w:p>
      <w:pPr>
        <w:pStyle w:val="FirstParagraph"/>
      </w:pPr>
      <w:r>
        <w:t xml:space="preserve">The author(s) received no financial support for the research, authorship, and/or publication of this article.</w:t>
      </w:r>
    </w:p>
    <w:bookmarkEnd w:id="61"/>
    <w:bookmarkStart w:id="62" w:name="data-availability"/>
    <w:p>
      <w:pPr>
        <w:pStyle w:val="Heading3"/>
      </w:pPr>
      <w:r>
        <w:t xml:space="preserve">Data availability</w:t>
      </w:r>
    </w:p>
    <w:p>
      <w:pPr>
        <w:pStyle w:val="FirstParagraph"/>
      </w:pPr>
      <w:r>
        <w:t xml:space="preserve">The competition records used in this study are publicly accessible via the Norwegian Athletics Federation’s online register. The derived analysis dataset cannot be publicly shared because it contains personal data (athlete dates of birth) under the EU GDPR. The full analysis code will be deposited in a public repository upon acceptance.</w:t>
      </w:r>
    </w:p>
    <w:p>
      <w:r>
        <w:pict>
          <v:rect style="width:0;height:1.5pt" o:hralign="center" o:hrstd="t" o:hr="t"/>
        </w:pict>
      </w:r>
    </w:p>
    <w:bookmarkEnd w:id="62"/>
    <w:bookmarkEnd w:id="63"/>
    <w:bookmarkStart w:id="64" w:name="references"/>
    <w:p>
      <w:pPr>
        <w:pStyle w:val="Heading2"/>
      </w:pPr>
      <w:r>
        <w:t xml:space="preserve">References</w:t>
      </w:r>
    </w:p>
    <w:p>
      <w:pPr>
        <w:pStyle w:val="Compact"/>
        <w:numPr>
          <w:ilvl w:val="0"/>
          <w:numId w:val="1001"/>
        </w:numPr>
      </w:pPr>
      <w:r>
        <w:t xml:space="preserve">Eime RM, Young JA, Harvey JT, et al. A systematic review of the psychological and social benefits of participation in sport for children and adolescents: informing development of a conceptual model of health through sport.</w:t>
      </w:r>
      <w:r>
        <w:t xml:space="preserve"> </w:t>
      </w:r>
      <w:r>
        <w:rPr>
          <w:i/>
          <w:iCs/>
        </w:rPr>
        <w:t xml:space="preserve">Int J Behav Nutr Phys Act</w:t>
      </w:r>
      <w:r>
        <w:t xml:space="preserve"> </w:t>
      </w:r>
      <w:r>
        <w:t xml:space="preserve">2013; 10: 98. DOI: 10.1186/1479-5868-10-98.</w:t>
      </w:r>
    </w:p>
    <w:p>
      <w:pPr>
        <w:pStyle w:val="Compact"/>
        <w:numPr>
          <w:ilvl w:val="0"/>
          <w:numId w:val="1001"/>
        </w:numPr>
      </w:pPr>
      <w:r>
        <w:t xml:space="preserve">Crane J and Temple V. A systematic review of dropout from organized sport among children and youth.</w:t>
      </w:r>
      <w:r>
        <w:t xml:space="preserve"> </w:t>
      </w:r>
      <w:r>
        <w:rPr>
          <w:i/>
          <w:iCs/>
        </w:rPr>
        <w:t xml:space="preserve">Eur Phys Educ Rev</w:t>
      </w:r>
      <w:r>
        <w:t xml:space="preserve"> </w:t>
      </w:r>
      <w:r>
        <w:t xml:space="preserve">2015; 21: 114–131. DOI: 10.1177/1356336X14555294.</w:t>
      </w:r>
    </w:p>
    <w:p>
      <w:pPr>
        <w:pStyle w:val="Compact"/>
        <w:numPr>
          <w:ilvl w:val="0"/>
          <w:numId w:val="1001"/>
        </w:numPr>
      </w:pPr>
      <w:r>
        <w:t xml:space="preserve">Enoksen E. Drop-out rate and drop-out reasons among promising Norwegian track and field athletes: a 25 year study.</w:t>
      </w:r>
      <w:r>
        <w:t xml:space="preserve"> </w:t>
      </w:r>
      <w:r>
        <w:rPr>
          <w:i/>
          <w:iCs/>
        </w:rPr>
        <w:t xml:space="preserve">Scand Sport Stud Forum</w:t>
      </w:r>
      <w:r>
        <w:t xml:space="preserve"> </w:t>
      </w:r>
      <w:r>
        <w:t xml:space="preserve">2011; 2: 19–43.</w:t>
      </w:r>
    </w:p>
    <w:p>
      <w:pPr>
        <w:pStyle w:val="Compact"/>
        <w:numPr>
          <w:ilvl w:val="0"/>
          <w:numId w:val="1001"/>
        </w:numPr>
      </w:pPr>
      <w:r>
        <w:t xml:space="preserve">Battaglia A, Kerr G and Tamminen K. The dropout from youth sport crisis: not as simple as it appears.</w:t>
      </w:r>
      <w:r>
        <w:t xml:space="preserve"> </w:t>
      </w:r>
      <w:r>
        <w:rPr>
          <w:i/>
          <w:iCs/>
        </w:rPr>
        <w:t xml:space="preserve">Kinesiol Rev</w:t>
      </w:r>
      <w:r>
        <w:t xml:space="preserve"> </w:t>
      </w:r>
      <w:r>
        <w:t xml:space="preserve">2024; 13: 345–356. DOI: 10.1123/kr.2023-0024.</w:t>
      </w:r>
    </w:p>
    <w:p>
      <w:pPr>
        <w:pStyle w:val="Compact"/>
        <w:numPr>
          <w:ilvl w:val="0"/>
          <w:numId w:val="1001"/>
        </w:numPr>
      </w:pPr>
      <w:r>
        <w:t xml:space="preserve">Eliasson I and Johansson A. The disengagement process among young athletes when withdrawing from sport: a new research approach.</w:t>
      </w:r>
      <w:r>
        <w:t xml:space="preserve"> </w:t>
      </w:r>
      <w:r>
        <w:rPr>
          <w:i/>
          <w:iCs/>
        </w:rPr>
        <w:t xml:space="preserve">Int Rev Sociol Sport</w:t>
      </w:r>
      <w:r>
        <w:t xml:space="preserve"> </w:t>
      </w:r>
      <w:r>
        <w:t xml:space="preserve">2021; 56: 537–557. DOI: 10.1177/1012690219899614.</w:t>
      </w:r>
    </w:p>
    <w:p>
      <w:pPr>
        <w:pStyle w:val="Compact"/>
        <w:numPr>
          <w:ilvl w:val="0"/>
          <w:numId w:val="1001"/>
        </w:numPr>
      </w:pPr>
      <w:r>
        <w:t xml:space="preserve">Scanlan TK, Carpenter PJ, Simons JP, et al. An introduction to the sport commitment model.</w:t>
      </w:r>
      <w:r>
        <w:t xml:space="preserve"> </w:t>
      </w:r>
      <w:r>
        <w:rPr>
          <w:i/>
          <w:iCs/>
        </w:rPr>
        <w:t xml:space="preserve">J Sport Exerc Psychol</w:t>
      </w:r>
      <w:r>
        <w:t xml:space="preserve"> </w:t>
      </w:r>
      <w:r>
        <w:t xml:space="preserve">1993; 15: 1–15. DOI: 10.1123/jsep.15.1.1.</w:t>
      </w:r>
    </w:p>
    <w:p>
      <w:pPr>
        <w:pStyle w:val="Compact"/>
        <w:numPr>
          <w:ilvl w:val="0"/>
          <w:numId w:val="1001"/>
        </w:numPr>
      </w:pPr>
      <w:r>
        <w:t xml:space="preserve">Scanlan TK, Chow GM, Sousa C, et al. The development of the Sport Commitment Questionnaire-2 (English version).</w:t>
      </w:r>
      <w:r>
        <w:t xml:space="preserve"> </w:t>
      </w:r>
      <w:r>
        <w:rPr>
          <w:i/>
          <w:iCs/>
        </w:rPr>
        <w:t xml:space="preserve">Psychol Sport Exerc</w:t>
      </w:r>
      <w:r>
        <w:t xml:space="preserve"> </w:t>
      </w:r>
      <w:r>
        <w:t xml:space="preserve">2016; 22: 233–246. DOI: 10.1016/j.psychsport.2015.08.002.</w:t>
      </w:r>
    </w:p>
    <w:p>
      <w:pPr>
        <w:pStyle w:val="Compact"/>
        <w:numPr>
          <w:ilvl w:val="0"/>
          <w:numId w:val="1001"/>
        </w:numPr>
      </w:pPr>
      <w:r>
        <w:t xml:space="preserve">Kretchmar RS. Movement subcultures: sites for meaning.</w:t>
      </w:r>
      <w:r>
        <w:t xml:space="preserve"> </w:t>
      </w:r>
      <w:r>
        <w:rPr>
          <w:i/>
          <w:iCs/>
        </w:rPr>
        <w:t xml:space="preserve">J Phys Educ Recreat Dance</w:t>
      </w:r>
      <w:r>
        <w:t xml:space="preserve"> </w:t>
      </w:r>
      <w:r>
        <w:t xml:space="preserve">2000; 71(5): 19–25. DOI: 10.1080/07303084.2000.10605140.</w:t>
      </w:r>
    </w:p>
    <w:p>
      <w:pPr>
        <w:pStyle w:val="Compact"/>
        <w:numPr>
          <w:ilvl w:val="0"/>
          <w:numId w:val="1001"/>
        </w:numPr>
      </w:pPr>
      <w:r>
        <w:t xml:space="preserve">Ebaugh HRF.</w:t>
      </w:r>
      <w:r>
        <w:t xml:space="preserve"> </w:t>
      </w:r>
      <w:r>
        <w:rPr>
          <w:i/>
          <w:iCs/>
        </w:rPr>
        <w:t xml:space="preserve">Becoming an ex: the process of role exit</w:t>
      </w:r>
      <w:r>
        <w:t xml:space="preserve">. Chicago: University of Chicago Press, 1988.</w:t>
      </w:r>
    </w:p>
    <w:p>
      <w:pPr>
        <w:pStyle w:val="Compact"/>
        <w:numPr>
          <w:ilvl w:val="0"/>
          <w:numId w:val="1001"/>
        </w:numPr>
      </w:pPr>
      <w:r>
        <w:t xml:space="preserve">Espedalen LE and Seippel Ø. Dropout and social inequality: young people’s reasons for leaving organized sports.</w:t>
      </w:r>
      <w:r>
        <w:t xml:space="preserve"> </w:t>
      </w:r>
      <w:r>
        <w:rPr>
          <w:i/>
          <w:iCs/>
        </w:rPr>
        <w:t xml:space="preserve">Ann Leis Res</w:t>
      </w:r>
      <w:r>
        <w:t xml:space="preserve"> </w:t>
      </w:r>
      <w:r>
        <w:t xml:space="preserve">2024; 27: 197–214. DOI: 10.1080/11745398.2022.2070512.</w:t>
      </w:r>
    </w:p>
    <w:p>
      <w:pPr>
        <w:pStyle w:val="Compact"/>
        <w:numPr>
          <w:ilvl w:val="0"/>
          <w:numId w:val="1001"/>
        </w:numPr>
      </w:pPr>
      <w:r>
        <w:t xml:space="preserve">Bakken A.</w:t>
      </w:r>
      <w:r>
        <w:t xml:space="preserve"> </w:t>
      </w:r>
      <w:r>
        <w:rPr>
          <w:i/>
          <w:iCs/>
        </w:rPr>
        <w:t xml:space="preserve">Idrettens posisjon i ungdomstida: hvem deltar og hvem slutter i ungdomsidretten?</w:t>
      </w:r>
      <w:r>
        <w:t xml:space="preserve"> </w:t>
      </w:r>
      <w:r>
        <w:t xml:space="preserve">[The position of sport in adolescence: who participates and who drops out of youth sport?]. NOVA Rapport 2/2019. Oslo: Oslo Metropolitan University, 2019.</w:t>
      </w:r>
    </w:p>
    <w:p>
      <w:pPr>
        <w:pStyle w:val="Compact"/>
        <w:numPr>
          <w:ilvl w:val="0"/>
          <w:numId w:val="1001"/>
        </w:numPr>
      </w:pPr>
      <w:r>
        <w:t xml:space="preserve">Espedalen LE.</w:t>
      </w:r>
      <w:r>
        <w:t xml:space="preserve"> </w:t>
      </w:r>
      <w:r>
        <w:rPr>
          <w:i/>
          <w:iCs/>
        </w:rPr>
        <w:t xml:space="preserve">Organized sport in the lives of young Norwegians: participation, exit, and social inequality</w:t>
      </w:r>
      <w:r>
        <w:t xml:space="preserve">. PhD Thesis, Norwegian School of Sport Sciences, Norway, 2025.</w:t>
      </w:r>
    </w:p>
    <w:p>
      <w:pPr>
        <w:pStyle w:val="Compact"/>
        <w:numPr>
          <w:ilvl w:val="0"/>
          <w:numId w:val="1001"/>
        </w:numPr>
      </w:pPr>
      <w:r>
        <w:t xml:space="preserve">Wall M and Côté J. Developmental activities that lead to dropout and investment in sport.</w:t>
      </w:r>
      <w:r>
        <w:t xml:space="preserve"> </w:t>
      </w:r>
      <w:r>
        <w:rPr>
          <w:i/>
          <w:iCs/>
        </w:rPr>
        <w:t xml:space="preserve">Phys Educ Sport Pedagogy</w:t>
      </w:r>
      <w:r>
        <w:t xml:space="preserve"> </w:t>
      </w:r>
      <w:r>
        <w:t xml:space="preserve">2007; 12: 77–87. DOI: 10.1080/17408980601060358.</w:t>
      </w:r>
    </w:p>
    <w:p>
      <w:pPr>
        <w:pStyle w:val="Compact"/>
        <w:numPr>
          <w:ilvl w:val="0"/>
          <w:numId w:val="1001"/>
        </w:numPr>
      </w:pPr>
      <w:r>
        <w:t xml:space="preserve">Sarrazin P, Vallerand R, Guillet E, et al. Motivation and dropout in female handballers: a 21-month prospective study.</w:t>
      </w:r>
      <w:r>
        <w:t xml:space="preserve"> </w:t>
      </w:r>
      <w:r>
        <w:rPr>
          <w:i/>
          <w:iCs/>
        </w:rPr>
        <w:t xml:space="preserve">Eur J Soc Psychol</w:t>
      </w:r>
      <w:r>
        <w:t xml:space="preserve"> </w:t>
      </w:r>
      <w:r>
        <w:t xml:space="preserve">2002; 32: 395–418. DOI: 10.1002/ejsp.98.</w:t>
      </w:r>
    </w:p>
    <w:p>
      <w:pPr>
        <w:pStyle w:val="Compact"/>
        <w:numPr>
          <w:ilvl w:val="0"/>
          <w:numId w:val="1001"/>
        </w:numPr>
      </w:pPr>
      <w:r>
        <w:t xml:space="preserve">Cobley S, Baker J, Wattie N, et al. Annual age-grouping and athlete development: a meta-analytical review of relative age effects in sport.</w:t>
      </w:r>
      <w:r>
        <w:t xml:space="preserve"> </w:t>
      </w:r>
      <w:r>
        <w:rPr>
          <w:i/>
          <w:iCs/>
        </w:rPr>
        <w:t xml:space="preserve">Sports Med</w:t>
      </w:r>
      <w:r>
        <w:t xml:space="preserve"> </w:t>
      </w:r>
      <w:r>
        <w:t xml:space="preserve">2009; 39: 235–256. DOI: 10.2165/00007256-200939030-00005.</w:t>
      </w:r>
    </w:p>
    <w:p>
      <w:pPr>
        <w:pStyle w:val="Compact"/>
        <w:numPr>
          <w:ilvl w:val="0"/>
          <w:numId w:val="1001"/>
        </w:numPr>
      </w:pPr>
      <w:r>
        <w:t xml:space="preserve">DiFiori JP, Benjamin HJ, Brenner JS, et al. Overuse injuries and burnout in youth sports: a position statement from the American Medical Society for Sports Medicine.</w:t>
      </w:r>
      <w:r>
        <w:t xml:space="preserve"> </w:t>
      </w:r>
      <w:r>
        <w:rPr>
          <w:i/>
          <w:iCs/>
        </w:rPr>
        <w:t xml:space="preserve">Clin J Sport Med</w:t>
      </w:r>
      <w:r>
        <w:t xml:space="preserve"> </w:t>
      </w:r>
      <w:r>
        <w:t xml:space="preserve">2014; 24: 3–20. DOI: 10.1097/JSM.0000000000000060.</w:t>
      </w:r>
    </w:p>
    <w:p>
      <w:pPr>
        <w:pStyle w:val="Compact"/>
        <w:numPr>
          <w:ilvl w:val="0"/>
          <w:numId w:val="1001"/>
        </w:numPr>
      </w:pPr>
      <w:r>
        <w:t xml:space="preserve">Jayanthi NA, LaBella CR, Fischer D, et al. Sports-specialized intensive training and the risk of injury in young athletes: a clinical case-control study.</w:t>
      </w:r>
      <w:r>
        <w:t xml:space="preserve"> </w:t>
      </w:r>
      <w:r>
        <w:rPr>
          <w:i/>
          <w:iCs/>
        </w:rPr>
        <w:t xml:space="preserve">Am J Sports Med</w:t>
      </w:r>
      <w:r>
        <w:t xml:space="preserve"> </w:t>
      </w:r>
      <w:r>
        <w:t xml:space="preserve">2015; 43: 794–801. DOI: 10.1177/0363546514567298.</w:t>
      </w:r>
    </w:p>
    <w:p>
      <w:pPr>
        <w:pStyle w:val="Compact"/>
        <w:numPr>
          <w:ilvl w:val="0"/>
          <w:numId w:val="1001"/>
        </w:numPr>
      </w:pPr>
      <w:r>
        <w:t xml:space="preserve">Côté J and Hancock DJ. Evidence-based policies for youth sport programmes.</w:t>
      </w:r>
      <w:r>
        <w:t xml:space="preserve"> </w:t>
      </w:r>
      <w:r>
        <w:rPr>
          <w:i/>
          <w:iCs/>
        </w:rPr>
        <w:t xml:space="preserve">Int J Sport Policy Polit</w:t>
      </w:r>
      <w:r>
        <w:t xml:space="preserve"> </w:t>
      </w:r>
      <w:r>
        <w:t xml:space="preserve">2016; 8: 51–65. DOI: 10.1080/19406940.2014.919338.</w:t>
      </w:r>
    </w:p>
    <w:p>
      <w:pPr>
        <w:pStyle w:val="Compact"/>
        <w:numPr>
          <w:ilvl w:val="0"/>
          <w:numId w:val="1001"/>
        </w:numPr>
      </w:pPr>
      <w:r>
        <w:t xml:space="preserve">Güllich A, Macnamara BN and Hambrick DZ. What makes a champion? Early multidisciplinary practice, not early specialization, predicts world-class performance.</w:t>
      </w:r>
      <w:r>
        <w:t xml:space="preserve"> </w:t>
      </w:r>
      <w:r>
        <w:rPr>
          <w:i/>
          <w:iCs/>
        </w:rPr>
        <w:t xml:space="preserve">Perspect Psychol Sci</w:t>
      </w:r>
      <w:r>
        <w:t xml:space="preserve"> </w:t>
      </w:r>
      <w:r>
        <w:t xml:space="preserve">2022; 17: 6–29. DOI: 10.1177/1745691620974772.</w:t>
      </w:r>
    </w:p>
    <w:p>
      <w:pPr>
        <w:pStyle w:val="Compact"/>
        <w:numPr>
          <w:ilvl w:val="0"/>
          <w:numId w:val="1001"/>
        </w:numPr>
      </w:pPr>
      <w:r>
        <w:t xml:space="preserve">Kuokkanen J, Phipps DJ, Saarinen M, et al. Trajectories of sport exhaustion, cynicism and inadequacy among adolescent student-athletes: a three-year longitudinal study of social influences in the Finnish dual career context.</w:t>
      </w:r>
      <w:r>
        <w:t xml:space="preserve"> </w:t>
      </w:r>
      <w:r>
        <w:rPr>
          <w:i/>
          <w:iCs/>
        </w:rPr>
        <w:t xml:space="preserve">Psychol Sport Exerc</w:t>
      </w:r>
      <w:r>
        <w:t xml:space="preserve"> </w:t>
      </w:r>
      <w:r>
        <w:t xml:space="preserve">2026; 82: 103015. DOI: 10.1016/j.psychsport.2025.103015.</w:t>
      </w:r>
    </w:p>
    <w:p>
      <w:pPr>
        <w:pStyle w:val="Compact"/>
        <w:numPr>
          <w:ilvl w:val="0"/>
          <w:numId w:val="1001"/>
        </w:numPr>
      </w:pPr>
      <w:r>
        <w:t xml:space="preserve">Worley JT and Smith AL. Positive peer relationships, social identity, and adaptive sport motivation in youth athletes.</w:t>
      </w:r>
      <w:r>
        <w:t xml:space="preserve"> </w:t>
      </w:r>
      <w:r>
        <w:rPr>
          <w:i/>
          <w:iCs/>
        </w:rPr>
        <w:t xml:space="preserve">Psychol Sport Exerc</w:t>
      </w:r>
      <w:r>
        <w:t xml:space="preserve"> </w:t>
      </w:r>
      <w:r>
        <w:t xml:space="preserve">2026; 82: 102996. DOI: 10.1016/j.psychsport.2025.102996.</w:t>
      </w:r>
    </w:p>
    <w:p>
      <w:pPr>
        <w:pStyle w:val="Compact"/>
        <w:numPr>
          <w:ilvl w:val="0"/>
          <w:numId w:val="1001"/>
        </w:numPr>
      </w:pPr>
      <w:r>
        <w:t xml:space="preserve">Zhong J, Wang Q, Bao H, et al. Effects of basic psychological needs on Chinese youth athlete burnout under coach burnout: using hierarchical linear modeling.</w:t>
      </w:r>
      <w:r>
        <w:t xml:space="preserve"> </w:t>
      </w:r>
      <w:r>
        <w:rPr>
          <w:i/>
          <w:iCs/>
        </w:rPr>
        <w:t xml:space="preserve">Psychol Sport Exerc</w:t>
      </w:r>
      <w:r>
        <w:t xml:space="preserve"> </w:t>
      </w:r>
      <w:r>
        <w:t xml:space="preserve">2026; 85: 103099. DOI: 10.1016/j.psychsport.2026.103099.</w:t>
      </w:r>
    </w:p>
    <w:p>
      <w:pPr>
        <w:pStyle w:val="Compact"/>
        <w:numPr>
          <w:ilvl w:val="0"/>
          <w:numId w:val="1001"/>
        </w:numPr>
      </w:pPr>
      <w:r>
        <w:t xml:space="preserve">Back J, Johnson U, Svedberg P, et al. Drop-out from team sport among adolescents: a systematic review and meta-analysis of prospective studies.</w:t>
      </w:r>
      <w:r>
        <w:t xml:space="preserve"> </w:t>
      </w:r>
      <w:r>
        <w:rPr>
          <w:i/>
          <w:iCs/>
        </w:rPr>
        <w:t xml:space="preserve">Psychol Sport Exerc</w:t>
      </w:r>
      <w:r>
        <w:t xml:space="preserve"> </w:t>
      </w:r>
      <w:r>
        <w:t xml:space="preserve">2022; 61: 102205. DOI: 10.1016/j.psychsport.2022.102205.</w:t>
      </w:r>
    </w:p>
    <w:p>
      <w:pPr>
        <w:pStyle w:val="Compact"/>
        <w:numPr>
          <w:ilvl w:val="0"/>
          <w:numId w:val="1001"/>
        </w:numPr>
      </w:pPr>
      <w:r>
        <w:t xml:space="preserve">Kearney PE and Hayes PR. Excelling at youth level in competitive track and field athletics is not a prerequisite for later success.</w:t>
      </w:r>
      <w:r>
        <w:t xml:space="preserve"> </w:t>
      </w:r>
      <w:r>
        <w:rPr>
          <w:i/>
          <w:iCs/>
        </w:rPr>
        <w:t xml:space="preserve">J Sports Sci</w:t>
      </w:r>
      <w:r>
        <w:t xml:space="preserve"> </w:t>
      </w:r>
      <w:r>
        <w:t xml:space="preserve">2018; 36: 2502–2509. DOI: 10.1080/02640414.2018.1465724.</w:t>
      </w:r>
    </w:p>
    <w:p>
      <w:pPr>
        <w:pStyle w:val="Compact"/>
        <w:numPr>
          <w:ilvl w:val="0"/>
          <w:numId w:val="1001"/>
        </w:numPr>
      </w:pPr>
      <w:r>
        <w:t xml:space="preserve">von Elm E, Altman DG, Egger M, et al. The Strengthening the Reporting of Observational Studies in Epidemiology (STROBE) statement: guidelines for reporting observational studies.</w:t>
      </w:r>
      <w:r>
        <w:t xml:space="preserve"> </w:t>
      </w:r>
      <w:r>
        <w:rPr>
          <w:i/>
          <w:iCs/>
        </w:rPr>
        <w:t xml:space="preserve">Ann Intern Med</w:t>
      </w:r>
      <w:r>
        <w:t xml:space="preserve"> </w:t>
      </w:r>
      <w:r>
        <w:t xml:space="preserve">2007; 147: 573–577. DOI: 10.7326/0003-4819-147-8-200710160-00010.</w:t>
      </w:r>
    </w:p>
    <w:p>
      <w:pPr>
        <w:pStyle w:val="Compact"/>
        <w:numPr>
          <w:ilvl w:val="0"/>
          <w:numId w:val="1001"/>
        </w:numPr>
      </w:pPr>
      <w:r>
        <w:t xml:space="preserve">Norges Friidrettsforbund. Lover og regler [Laws and regulations], https://www.friidrett.no/om-nfif/lover/ (2026, accessed 25 August 2026).</w:t>
      </w:r>
    </w:p>
    <w:p>
      <w:pPr>
        <w:pStyle w:val="Compact"/>
        <w:numPr>
          <w:ilvl w:val="0"/>
          <w:numId w:val="1001"/>
        </w:numPr>
      </w:pPr>
      <w:r>
        <w:t xml:space="preserve">Norges Friidrettsforbund. Tyrvingtabellen: poengtabell for ungdomsfriidrett [Tyrving table: scoring table for youth athletics], https://www.friidrett.no/arrangement/arrangementshjelp/poengtabeller/tyrvingtabellen/ (2024, accessed 25 August 2026).</w:t>
      </w:r>
    </w:p>
    <w:p>
      <w:pPr>
        <w:pStyle w:val="Compact"/>
        <w:numPr>
          <w:ilvl w:val="0"/>
          <w:numId w:val="1001"/>
        </w:numPr>
      </w:pPr>
      <w:r>
        <w:t xml:space="preserve">Cox DR. Regression models and life-tables.</w:t>
      </w:r>
      <w:r>
        <w:t xml:space="preserve"> </w:t>
      </w:r>
      <w:r>
        <w:rPr>
          <w:i/>
          <w:iCs/>
        </w:rPr>
        <w:t xml:space="preserve">J R Stat Soc Series B Stat Methodol</w:t>
      </w:r>
      <w:r>
        <w:t xml:space="preserve"> </w:t>
      </w:r>
      <w:r>
        <w:t xml:space="preserve">1972; 34: 187–202. DOI: 10.1111/j.2517-6161.1972.tb00899.x.</w:t>
      </w:r>
    </w:p>
    <w:p>
      <w:pPr>
        <w:pStyle w:val="Compact"/>
        <w:numPr>
          <w:ilvl w:val="0"/>
          <w:numId w:val="1001"/>
        </w:numPr>
      </w:pPr>
      <w:r>
        <w:t xml:space="preserve">van Houwelingen HC. Dynamic prediction by landmarking in event history analysis.</w:t>
      </w:r>
      <w:r>
        <w:t xml:space="preserve"> </w:t>
      </w:r>
      <w:r>
        <w:rPr>
          <w:i/>
          <w:iCs/>
        </w:rPr>
        <w:t xml:space="preserve">Scand J Stat</w:t>
      </w:r>
      <w:r>
        <w:t xml:space="preserve"> </w:t>
      </w:r>
      <w:r>
        <w:t xml:space="preserve">2007; 34: 70–85. DOI: 10.1111/j.1467-9469.2006.00529.x.</w:t>
      </w:r>
    </w:p>
    <w:p>
      <w:pPr>
        <w:pStyle w:val="Compact"/>
        <w:numPr>
          <w:ilvl w:val="0"/>
          <w:numId w:val="1001"/>
        </w:numPr>
      </w:pPr>
      <w:r>
        <w:t xml:space="preserve">VanderWeele TJ and Ding P. Sensitivity analysis in observational research: introducing the E-value.</w:t>
      </w:r>
      <w:r>
        <w:t xml:space="preserve"> </w:t>
      </w:r>
      <w:r>
        <w:rPr>
          <w:i/>
          <w:iCs/>
        </w:rPr>
        <w:t xml:space="preserve">Ann Intern Med</w:t>
      </w:r>
      <w:r>
        <w:t xml:space="preserve"> </w:t>
      </w:r>
      <w:r>
        <w:t xml:space="preserve">2017; 167: 268–274. DOI: 10.7326/M16-2607.</w:t>
      </w:r>
    </w:p>
    <w:p>
      <w:pPr>
        <w:pStyle w:val="Compact"/>
        <w:numPr>
          <w:ilvl w:val="0"/>
          <w:numId w:val="1001"/>
        </w:numPr>
      </w:pPr>
      <w:r>
        <w:t xml:space="preserve">Davidson-Pilon C. lifelines: survival analysis in Python.</w:t>
      </w:r>
      <w:r>
        <w:t xml:space="preserve"> </w:t>
      </w:r>
      <w:r>
        <w:rPr>
          <w:i/>
          <w:iCs/>
        </w:rPr>
        <w:t xml:space="preserve">J Open Source Softw</w:t>
      </w:r>
      <w:r>
        <w:t xml:space="preserve"> </w:t>
      </w:r>
      <w:r>
        <w:t xml:space="preserve">2019; 4(40): 1317. DOI: 10.21105/joss.01317.</w:t>
      </w:r>
    </w:p>
    <w:p>
      <w:pPr>
        <w:pStyle w:val="Compact"/>
        <w:numPr>
          <w:ilvl w:val="0"/>
          <w:numId w:val="1001"/>
        </w:numPr>
      </w:pPr>
      <w:r>
        <w:t xml:space="preserve">Pedregosa F, Varoquaux G, Gramfort A, et al. Scikit-learn: machine learning in Python.</w:t>
      </w:r>
      <w:r>
        <w:t xml:space="preserve"> </w:t>
      </w:r>
      <w:r>
        <w:rPr>
          <w:i/>
          <w:iCs/>
        </w:rPr>
        <w:t xml:space="preserve">J Mach Learn Res</w:t>
      </w:r>
      <w:r>
        <w:t xml:space="preserve"> </w:t>
      </w:r>
      <w:r>
        <w:t xml:space="preserve">2011; 12: 2825–2830.</w:t>
      </w:r>
    </w:p>
    <w:p>
      <w:pPr>
        <w:pStyle w:val="Compact"/>
        <w:numPr>
          <w:ilvl w:val="0"/>
          <w:numId w:val="1001"/>
        </w:numPr>
      </w:pPr>
      <w:r>
        <w:t xml:space="preserve">Hunter JD. Matplotlib: a 2D graphics environment.</w:t>
      </w:r>
      <w:r>
        <w:t xml:space="preserve"> </w:t>
      </w:r>
      <w:r>
        <w:rPr>
          <w:i/>
          <w:iCs/>
        </w:rPr>
        <w:t xml:space="preserve">Comput Sci Eng</w:t>
      </w:r>
      <w:r>
        <w:t xml:space="preserve"> </w:t>
      </w:r>
      <w:r>
        <w:t xml:space="preserve">2007; 9(3): 90–95. DOI: 10.1109/MCSE.2007.55.</w:t>
      </w:r>
    </w:p>
    <w:p>
      <w:pPr>
        <w:pStyle w:val="Compact"/>
        <w:numPr>
          <w:ilvl w:val="0"/>
          <w:numId w:val="1001"/>
        </w:numPr>
      </w:pPr>
      <w:r>
        <w:t xml:space="preserve">Heidari S, Babor TF, De Castro P, et al. Sex and Gender Equity in Research: rationale for the SAGER guidelines and recommended use.</w:t>
      </w:r>
      <w:r>
        <w:t xml:space="preserve"> </w:t>
      </w:r>
      <w:r>
        <w:rPr>
          <w:i/>
          <w:iCs/>
        </w:rPr>
        <w:t xml:space="preserve">Res Integr Peer Rev</w:t>
      </w:r>
      <w:r>
        <w:t xml:space="preserve"> </w:t>
      </w:r>
      <w:r>
        <w:t xml:space="preserve">2016; 1: 2. DOI: 10.1186/s41073-016-0007-6.</w:t>
      </w:r>
    </w:p>
    <w:p>
      <w:pPr>
        <w:pStyle w:val="Compact"/>
        <w:numPr>
          <w:ilvl w:val="0"/>
          <w:numId w:val="1001"/>
        </w:numPr>
      </w:pPr>
      <w:r>
        <w:t xml:space="preserve">Raedeke TD. Is athlete burnout more than just stress? A sport commitment perspective.</w:t>
      </w:r>
      <w:r>
        <w:t xml:space="preserve"> </w:t>
      </w:r>
      <w:r>
        <w:rPr>
          <w:i/>
          <w:iCs/>
        </w:rPr>
        <w:t xml:space="preserve">J Sport Exerc Psychol</w:t>
      </w:r>
      <w:r>
        <w:t xml:space="preserve"> </w:t>
      </w:r>
      <w:r>
        <w:t xml:space="preserve">1997; 19: 396–417. DOI: 10.1123/jsep.19.4.396.</w:t>
      </w:r>
    </w:p>
    <w:p>
      <w:pPr>
        <w:pStyle w:val="Compact"/>
        <w:numPr>
          <w:ilvl w:val="0"/>
          <w:numId w:val="1001"/>
        </w:numPr>
      </w:pPr>
      <w:r>
        <w:t xml:space="preserve">Larson HK, Young BW, McHugh TLF, et al. Markers of early specialization and their relationships with burnout and dropout in swimming.</w:t>
      </w:r>
      <w:r>
        <w:t xml:space="preserve"> </w:t>
      </w:r>
      <w:r>
        <w:rPr>
          <w:i/>
          <w:iCs/>
        </w:rPr>
        <w:t xml:space="preserve">J Sport Exerc Psychol</w:t>
      </w:r>
      <w:r>
        <w:t xml:space="preserve"> </w:t>
      </w:r>
      <w:r>
        <w:t xml:space="preserve">2019; 41: 46–54. DOI: 10.1123/jsep.2018-0305.</w:t>
      </w:r>
    </w:p>
    <w:p>
      <w:pPr>
        <w:pStyle w:val="Compact"/>
        <w:numPr>
          <w:ilvl w:val="0"/>
          <w:numId w:val="1001"/>
        </w:numPr>
      </w:pPr>
      <w:r>
        <w:t xml:space="preserve">Baker J, Mosher A and Fraser-Thomas J. Is it too early to condemn early sport specialisation?</w:t>
      </w:r>
      <w:r>
        <w:t xml:space="preserve"> </w:t>
      </w:r>
      <w:r>
        <w:rPr>
          <w:i/>
          <w:iCs/>
        </w:rPr>
        <w:t xml:space="preserve">Br J Sports Med</w:t>
      </w:r>
      <w:r>
        <w:t xml:space="preserve"> </w:t>
      </w:r>
      <w:r>
        <w:t xml:space="preserve">2021; 55: 179–180. DOI: 10.1136/bjsports-2020-102053.</w:t>
      </w:r>
    </w:p>
    <w:bookmarkEnd w:id="64"/>
    <w:bookmarkStart w:id="65" w:name="tables"/>
    <w:p>
      <w:pPr>
        <w:pStyle w:val="Heading2"/>
      </w:pPr>
      <w:r>
        <w:t xml:space="preserve">Tables</w:t>
      </w:r>
    </w:p>
    <w:bookmarkEnd w:id="65"/>
    <w:bookmarkStart w:id="66" w:name="X3f3effad2eaa83c7207be569d73957223d2e30a"/>
    <w:p>
      <w:pPr>
        <w:pStyle w:val="Heading2"/>
      </w:pPr>
      <w:r>
        <w:t xml:space="preserve">Table 1. Cohort characteristics by birth-year cohort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Cohort A (1998–2000)</w:t>
            </w:r>
          </w:p>
        </w:tc>
        <w:tc>
          <w:tcPr/>
          <w:p>
            <w:pPr>
              <w:pStyle w:val="Compact"/>
            </w:pPr>
            <w:r>
              <w:t xml:space="preserve">Cohort B (2001–2002)</w:t>
            </w:r>
          </w:p>
        </w:tc>
        <w:tc>
          <w:tcPr/>
          <w:p>
            <w:pPr>
              <w:pStyle w:val="Compact"/>
            </w:pPr>
            <w:r>
              <w:t xml:space="preserve">All cohorts</w:t>
            </w:r>
          </w:p>
        </w:tc>
      </w:tr>
      <w:tr>
        <w:tc>
          <w:tcPr/>
          <w:p>
            <w:pPr>
              <w:pStyle w:val="Compact"/>
            </w:pPr>
            <w:r>
              <w:t xml:space="preserve">N</w:t>
            </w:r>
          </w:p>
        </w:tc>
        <w:tc>
          <w:tcPr/>
          <w:p>
            <w:pPr>
              <w:pStyle w:val="Compact"/>
            </w:pPr>
            <w:r>
              <w:rPr>
                <w:rStyle w:val="Revised"/>
              </w:rPr>
              <w:t xml:space="preserve">1,309</w:t>
            </w:r>
          </w:p>
        </w:tc>
        <w:tc>
          <w:tcPr/>
          <w:p>
            <w:pPr>
              <w:pStyle w:val="Compact"/>
            </w:pPr>
            <w:r>
              <w:rPr>
                <w:rStyle w:val="Revised"/>
              </w:rPr>
              <w:t xml:space="preserve">829</w:t>
            </w:r>
          </w:p>
        </w:tc>
        <w:tc>
          <w:tcPr/>
          <w:p>
            <w:pPr>
              <w:pStyle w:val="Compact"/>
            </w:pPr>
            <w:r>
              <w:rPr>
                <w:rStyle w:val="Revised"/>
              </w:rPr>
              <w:t xml:space="preserve">2,138</w:t>
            </w:r>
          </w:p>
        </w:tc>
      </w:tr>
      <w:tr>
        <w:tc>
          <w:tcPr/>
          <w:p>
            <w:pPr>
              <w:pStyle w:val="Compact"/>
            </w:pPr>
            <w:r>
              <w:t xml:space="preserve">Male (n)</w:t>
            </w:r>
          </w:p>
        </w:tc>
        <w:tc>
          <w:tcPr/>
          <w:p>
            <w:pPr>
              <w:pStyle w:val="Compact"/>
            </w:pPr>
            <w:r>
              <w:rPr>
                <w:rStyle w:val="Revised"/>
              </w:rPr>
              <w:t xml:space="preserve">608</w:t>
            </w:r>
          </w:p>
        </w:tc>
        <w:tc>
          <w:tcPr/>
          <w:p>
            <w:pPr>
              <w:pStyle w:val="Compact"/>
            </w:pPr>
            <w:r>
              <w:rPr>
                <w:rStyle w:val="Revised"/>
              </w:rPr>
              <w:t xml:space="preserve">398</w:t>
            </w:r>
          </w:p>
        </w:tc>
        <w:tc>
          <w:tcPr/>
          <w:p>
            <w:pPr>
              <w:pStyle w:val="Compact"/>
            </w:pPr>
            <w:r>
              <w:rPr>
                <w:rStyle w:val="Revised"/>
              </w:rPr>
              <w:t xml:space="preserve">1,006</w:t>
            </w:r>
          </w:p>
        </w:tc>
      </w:tr>
      <w:tr>
        <w:tc>
          <w:tcPr/>
          <w:p>
            <w:pPr>
              <w:pStyle w:val="Compact"/>
            </w:pPr>
            <w:r>
              <w:t xml:space="preserve">Female (n)</w:t>
            </w:r>
          </w:p>
        </w:tc>
        <w:tc>
          <w:tcPr/>
          <w:p>
            <w:pPr>
              <w:pStyle w:val="Compact"/>
            </w:pPr>
            <w:r>
              <w:rPr>
                <w:rStyle w:val="Revised"/>
              </w:rPr>
              <w:t xml:space="preserve">700</w:t>
            </w:r>
          </w:p>
        </w:tc>
        <w:tc>
          <w:tcPr/>
          <w:p>
            <w:pPr>
              <w:pStyle w:val="Compact"/>
            </w:pPr>
            <w:r>
              <w:rPr>
                <w:rStyle w:val="Revised"/>
              </w:rPr>
              <w:t xml:space="preserve">430</w:t>
            </w:r>
          </w:p>
        </w:tc>
        <w:tc>
          <w:tcPr/>
          <w:p>
            <w:pPr>
              <w:pStyle w:val="Compact"/>
            </w:pPr>
            <w:r>
              <w:rPr>
                <w:rStyle w:val="Revised"/>
              </w:rPr>
              <w:t xml:space="preserve">1,130</w:t>
            </w:r>
          </w:p>
        </w:tc>
      </w:tr>
      <w:tr>
        <w:tc>
          <w:tcPr/>
          <w:p>
            <w:pPr>
              <w:pStyle w:val="Compact"/>
            </w:pPr>
            <w:r>
              <w:t xml:space="preserve">Sex unknown (n)</w:t>
            </w:r>
          </w:p>
        </w:tc>
        <w:tc>
          <w:tcPr/>
          <w:p>
            <w:pPr>
              <w:pStyle w:val="Compact"/>
            </w:pPr>
            <w:r>
              <w:rPr>
                <w:rStyle w:val="Revised"/>
              </w:rPr>
              <w:t xml:space="preserve">1</w:t>
            </w:r>
          </w:p>
        </w:tc>
        <w:tc>
          <w:tcPr/>
          <w:p>
            <w:pPr>
              <w:pStyle w:val="Compact"/>
            </w:pPr>
            <w:r>
              <w:rPr>
                <w:rStyle w:val="Revised"/>
              </w:rPr>
              <w:t xml:space="preserve">1</w:t>
            </w:r>
          </w:p>
        </w:tc>
        <w:tc>
          <w:tcPr/>
          <w:p>
            <w:pPr>
              <w:pStyle w:val="Compact"/>
            </w:pPr>
            <w:r>
              <w:rPr>
                <w:rStyle w:val="Revised"/>
              </w:rPr>
              <w:t xml:space="preserve">2</w:t>
            </w:r>
          </w:p>
        </w:tc>
      </w:tr>
      <w:tr>
        <w:tc>
          <w:tcPr/>
          <w:p>
            <w:pPr>
              <w:pStyle w:val="Compact"/>
            </w:pPr>
            <w:r>
              <w:t xml:space="preserve">Median career length (years)</w:t>
            </w:r>
          </w:p>
        </w:tc>
        <w:tc>
          <w:tcPr/>
          <w:p>
            <w:pPr>
              <w:pStyle w:val="Compact"/>
            </w:pPr>
            <w:r>
              <w:t xml:space="preserve">2.0</w:t>
            </w:r>
          </w:p>
        </w:tc>
        <w:tc>
          <w:tcPr/>
          <w:p>
            <w:pPr>
              <w:pStyle w:val="Compact"/>
            </w:pPr>
            <w:r>
              <w:t xml:space="preserve">3.0</w:t>
            </w:r>
          </w:p>
        </w:tc>
        <w:tc>
          <w:tcPr/>
          <w:p>
            <w:pPr>
              <w:pStyle w:val="Compact"/>
            </w:pPr>
            <w:r>
              <w:t xml:space="preserve">2.0</w:t>
            </w:r>
          </w:p>
        </w:tc>
      </w:tr>
      <w:tr>
        <w:tc>
          <w:tcPr/>
          <w:p>
            <w:pPr>
              <w:pStyle w:val="Compact"/>
            </w:pPr>
            <w:r>
              <w:rPr>
                <w:rStyle w:val="Revised"/>
              </w:rPr>
              <w:t xml:space="preserve">Active at age 17 or later (%)</w:t>
            </w:r>
          </w:p>
        </w:tc>
        <w:tc>
          <w:tcPr/>
          <w:p>
            <w:pPr>
              <w:pStyle w:val="Compact"/>
            </w:pPr>
            <w:r>
              <w:t xml:space="preserve">41.0</w:t>
            </w:r>
          </w:p>
        </w:tc>
        <w:tc>
          <w:tcPr/>
          <w:p>
            <w:pPr>
              <w:pStyle w:val="Compact"/>
            </w:pPr>
            <w:r>
              <w:rPr>
                <w:rStyle w:val="Revised"/>
              </w:rPr>
              <w:t xml:space="preserve">41.3</w:t>
            </w:r>
          </w:p>
        </w:tc>
        <w:tc>
          <w:tcPr/>
          <w:p>
            <w:pPr>
              <w:pStyle w:val="Compact"/>
            </w:pPr>
            <w:r>
              <w:rPr>
                <w:rStyle w:val="Revised"/>
              </w:rPr>
              <w:t xml:space="preserve">41.1</w:t>
            </w:r>
          </w:p>
        </w:tc>
      </w:tr>
      <w:tr>
        <w:tc>
          <w:tcPr/>
          <w:p>
            <w:pPr>
              <w:pStyle w:val="Compact"/>
            </w:pPr>
            <w:r>
              <w:t xml:space="preserve">Ever active at age 20+ (%)</w:t>
            </w:r>
          </w:p>
        </w:tc>
        <w:tc>
          <w:tcPr/>
          <w:p>
            <w:pPr>
              <w:pStyle w:val="Compact"/>
            </w:pPr>
            <w:r>
              <w:t xml:space="preserve">15.8</w:t>
            </w:r>
          </w:p>
        </w:tc>
        <w:tc>
          <w:tcPr/>
          <w:p>
            <w:pPr>
              <w:pStyle w:val="Compact"/>
            </w:pPr>
            <w:r>
              <w:rPr>
                <w:rStyle w:val="Revised"/>
              </w:rPr>
              <w:t xml:space="preserve">17.0</w:t>
            </w:r>
          </w:p>
        </w:tc>
        <w:tc>
          <w:tcPr/>
          <w:p>
            <w:pPr>
              <w:pStyle w:val="Compact"/>
            </w:pPr>
            <w:r>
              <w:rPr>
                <w:rStyle w:val="Revised"/>
              </w:rPr>
              <w:t xml:space="preserve">16.3</w:t>
            </w:r>
          </w:p>
        </w:tc>
      </w:tr>
      <w:tr>
        <w:tc>
          <w:tcPr/>
          <w:p>
            <w:pPr>
              <w:pStyle w:val="Compact"/>
            </w:pPr>
            <w:r>
              <w:t xml:space="preserve">Still active in 2024 or later (%)</w:t>
            </w:r>
          </w:p>
        </w:tc>
        <w:tc>
          <w:tcPr/>
          <w:p>
            <w:pPr>
              <w:pStyle w:val="Compact"/>
            </w:pPr>
            <w:r>
              <w:rPr>
                <w:rStyle w:val="Revised"/>
              </w:rPr>
              <w:t xml:space="preserve">5.7</w:t>
            </w:r>
          </w:p>
        </w:tc>
        <w:tc>
          <w:tcPr/>
          <w:p>
            <w:pPr>
              <w:pStyle w:val="Compact"/>
            </w:pPr>
            <w:r>
              <w:rPr>
                <w:rStyle w:val="Revised"/>
              </w:rPr>
              <w:t xml:space="preserve">10.5</w:t>
            </w:r>
          </w:p>
        </w:tc>
        <w:tc>
          <w:tcPr/>
          <w:p>
            <w:pPr>
              <w:pStyle w:val="Compact"/>
            </w:pPr>
            <w:r>
              <w:rPr>
                <w:rStyle w:val="Revised"/>
              </w:rPr>
              <w:t xml:space="preserve">7.6</w:t>
            </w:r>
          </w:p>
        </w:tc>
      </w:tr>
      <w:tr>
        <w:tc>
          <w:tcPr/>
          <w:p>
            <w:pPr>
              <w:pStyle w:val="Compact"/>
            </w:pPr>
            <w:r>
              <w:t xml:space="preserve">Mean Tyrving best at baseline</w:t>
            </w:r>
          </w:p>
        </w:tc>
        <w:tc>
          <w:tcPr/>
          <w:p>
            <w:pPr>
              <w:pStyle w:val="Compact"/>
            </w:pPr>
            <w:r>
              <w:rPr>
                <w:rStyle w:val="Revised"/>
              </w:rPr>
              <w:t xml:space="preserve">816</w:t>
            </w:r>
          </w:p>
        </w:tc>
        <w:tc>
          <w:tcPr/>
          <w:p>
            <w:pPr>
              <w:pStyle w:val="Compact"/>
            </w:pPr>
            <w:r>
              <w:rPr>
                <w:rStyle w:val="Revised"/>
              </w:rPr>
              <w:t xml:space="preserve">836</w:t>
            </w:r>
          </w:p>
        </w:tc>
        <w:tc>
          <w:tcPr/>
          <w:p>
            <w:pPr>
              <w:pStyle w:val="Compact"/>
            </w:pPr>
            <w:r>
              <w:rPr>
                <w:rStyle w:val="Revised"/>
              </w:rPr>
              <w:t xml:space="preserve">824</w:t>
            </w:r>
          </w:p>
        </w:tc>
      </w:tr>
      <w:tr>
        <w:tc>
          <w:tcPr/>
          <w:p>
            <w:pPr>
              <w:pStyle w:val="Compact"/>
            </w:pPr>
            <w:r>
              <w:t xml:space="preserve">Median total meets, ages 13–14 (pre-milestone volume)</w:t>
            </w:r>
          </w:p>
        </w:tc>
        <w:tc>
          <w:tcPr/>
          <w:p>
            <w:pPr>
              <w:pStyle w:val="Compact"/>
            </w:pPr>
            <w:r>
              <w:rPr>
                <w:rStyle w:val="Revised"/>
              </w:rPr>
              <w:t xml:space="preserve">15</w:t>
            </w:r>
          </w:p>
        </w:tc>
        <w:tc>
          <w:tcPr/>
          <w:p>
            <w:pPr>
              <w:pStyle w:val="Compact"/>
            </w:pPr>
            <w:r>
              <w:rPr>
                <w:rStyle w:val="Revised"/>
              </w:rPr>
              <w:t xml:space="preserve">18</w:t>
            </w:r>
          </w:p>
        </w:tc>
        <w:tc>
          <w:tcPr/>
          <w:p>
            <w:pPr>
              <w:pStyle w:val="Compact"/>
            </w:pPr>
            <w:r>
              <w:t xml:space="preserve">17</w:t>
            </w:r>
          </w:p>
        </w:tc>
      </w:tr>
    </w:tbl>
    <w:p>
      <w:pPr>
        <w:pStyle w:val="BodyText"/>
      </w:pPr>
      <w:r>
        <w:rPr>
          <w:i/>
          <w:iCs/>
        </w:rPr>
        <w:t xml:space="preserve">Note.</w:t>
      </w:r>
      <w:r>
        <w:t xml:space="preserve"> </w:t>
      </w:r>
      <w:r>
        <w:t xml:space="preserve">“Active at age</w:t>
      </w:r>
      <w:r>
        <w:t xml:space="preserve"> </w:t>
      </w:r>
      <w:r>
        <w:rPr>
          <w:rStyle w:val="Revised"/>
        </w:rPr>
        <w:t xml:space="preserve">17 or later”</w:t>
      </w:r>
      <w:r>
        <w:t xml:space="preserve"> </w:t>
      </w:r>
      <w:r>
        <w:t xml:space="preserve">indicates</w:t>
      </w:r>
      <w:r>
        <w:t xml:space="preserve"> </w:t>
      </w:r>
      <w:r>
        <w:rPr>
          <w:rStyle w:val="Revised"/>
        </w:rPr>
        <w:t xml:space="preserve">an active season (≥2</w:t>
      </w:r>
      <w:r>
        <w:t xml:space="preserve"> </w:t>
      </w:r>
      <w:r>
        <w:t xml:space="preserve">registered results in</w:t>
      </w:r>
      <w:r>
        <w:t xml:space="preserve"> </w:t>
      </w:r>
      <w:r>
        <w:rPr>
          <w:rStyle w:val="Revised"/>
        </w:rPr>
        <w:t xml:space="preserve">a</w:t>
      </w:r>
      <w:r>
        <w:t xml:space="preserve"> </w:t>
      </w:r>
      <w:r>
        <w:t xml:space="preserve">calendar</w:t>
      </w:r>
      <w:r>
        <w:t xml:space="preserve"> </w:t>
      </w:r>
      <w:r>
        <w:rPr>
          <w:rStyle w:val="Revised"/>
        </w:rPr>
        <w:t xml:space="preserve">year) at age 17 or later;</w:t>
      </w:r>
      <w:r>
        <w:t xml:space="preserve">”</w:t>
      </w:r>
      <w:r>
        <w:t xml:space="preserve">Ever active at age 20+” is the outcome prevalence (≥2 results in any calendar year at age 20 or later). Tyrving points = the Norwegian Athletics Federation’s age-norm score, where 1,000 corresponds to the published reference performance for that event × sex × age</w:t>
      </w:r>
      <w:r>
        <w:t xml:space="preserve"> </w:t>
      </w:r>
      <w:r>
        <w:rPr>
          <w:rStyle w:val="Revised"/>
        </w:rPr>
        <w:t xml:space="preserve">combination; all baseline events scored with implement- and hurdle-specific norms and the workbook’s own formulas (Supplementary Methods S-M3). Meets are counted as competition days (Section 2.4.3). Follow-up through 2025.</w:t>
      </w:r>
    </w:p>
    <w:p>
      <w:r>
        <w:pict>
          <v:rect style="width:0;height:1.5pt" o:hralign="center" o:hrstd="t" o:hr="t"/>
        </w:pict>
      </w:r>
    </w:p>
    <w:bookmarkEnd w:id="66"/>
    <w:bookmarkStart w:id="67" w:name="X9a6c38783434298188d0179517197b4d55f1fe6"/>
    <w:p>
      <w:pPr>
        <w:pStyle w:val="Heading2"/>
      </w:pPr>
      <w:r>
        <w:t xml:space="preserve">Table 2. Competition volume trajectory by senior-retention status (median competitions per year and IQR)</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Group</w:t>
            </w:r>
          </w:p>
        </w:tc>
        <w:tc>
          <w:tcPr/>
          <w:p>
            <w:pPr>
              <w:pStyle w:val="Compact"/>
            </w:pPr>
            <w:r>
              <w:t xml:space="preserve">N</w:t>
            </w:r>
          </w:p>
        </w:tc>
        <w:tc>
          <w:tcPr/>
          <w:p>
            <w:pPr>
              <w:pStyle w:val="Compact"/>
            </w:pPr>
            <w:r>
              <w:t xml:space="preserve">Age 13</w:t>
            </w:r>
          </w:p>
        </w:tc>
        <w:tc>
          <w:tcPr/>
          <w:p>
            <w:pPr>
              <w:pStyle w:val="Compact"/>
            </w:pPr>
            <w:r>
              <w:t xml:space="preserve">Age 14</w:t>
            </w:r>
          </w:p>
        </w:tc>
        <w:tc>
          <w:tcPr/>
          <w:p>
            <w:pPr>
              <w:pStyle w:val="Compact"/>
            </w:pPr>
            <w:r>
              <w:t xml:space="preserve">Age 15</w:t>
            </w:r>
          </w:p>
        </w:tc>
        <w:tc>
          <w:tcPr/>
          <w:p>
            <w:pPr>
              <w:pStyle w:val="Compact"/>
            </w:pPr>
            <w:r>
              <w:t xml:space="preserve">Age 16</w:t>
            </w:r>
          </w:p>
        </w:tc>
        <w:tc>
          <w:tcPr/>
          <w:p>
            <w:pPr>
              <w:pStyle w:val="Compact"/>
            </w:pPr>
            <w:r>
              <w:t xml:space="preserve">Age 17</w:t>
            </w:r>
          </w:p>
        </w:tc>
        <w:tc>
          <w:tcPr/>
          <w:p>
            <w:pPr>
              <w:pStyle w:val="Compact"/>
            </w:pPr>
            <w:r>
              <w:t xml:space="preserve">Age 18</w:t>
            </w:r>
          </w:p>
        </w:tc>
      </w:tr>
      <w:tr>
        <w:tc>
          <w:tcPr/>
          <w:p>
            <w:pPr>
              <w:pStyle w:val="Compact"/>
            </w:pPr>
            <w:r>
              <w:t xml:space="preserve">Senior retainers (active age ≥20)</w:t>
            </w:r>
          </w:p>
        </w:tc>
        <w:tc>
          <w:tcPr/>
          <w:p>
            <w:pPr>
              <w:pStyle w:val="Compact"/>
            </w:pPr>
            <w:r>
              <w:t xml:space="preserve">348</w:t>
            </w:r>
          </w:p>
        </w:tc>
        <w:tc>
          <w:tcPr/>
          <w:p>
            <w:pPr>
              <w:pStyle w:val="Compact"/>
            </w:pPr>
            <w:r>
              <w:rPr>
                <w:rStyle w:val="Revised"/>
              </w:rPr>
              <w:t xml:space="preserve">13 [6–20]</w:t>
            </w:r>
          </w:p>
        </w:tc>
        <w:tc>
          <w:tcPr/>
          <w:p>
            <w:pPr>
              <w:pStyle w:val="Compact"/>
            </w:pPr>
            <w:r>
              <w:rPr>
                <w:rStyle w:val="Revised"/>
              </w:rPr>
              <w:t xml:space="preserve">16.5 [10–24]</w:t>
            </w:r>
          </w:p>
        </w:tc>
        <w:tc>
          <w:tcPr/>
          <w:p>
            <w:pPr>
              <w:pStyle w:val="Compact"/>
            </w:pPr>
            <w:r>
              <w:rPr>
                <w:rStyle w:val="Revised"/>
              </w:rPr>
              <w:t xml:space="preserve">19 [11–26]</w:t>
            </w:r>
          </w:p>
        </w:tc>
        <w:tc>
          <w:tcPr/>
          <w:p>
            <w:pPr>
              <w:pStyle w:val="Compact"/>
            </w:pPr>
            <w:r>
              <w:t xml:space="preserve">18 [10–26]</w:t>
            </w:r>
          </w:p>
        </w:tc>
        <w:tc>
          <w:tcPr/>
          <w:p>
            <w:pPr>
              <w:pStyle w:val="Compact"/>
            </w:pPr>
            <w:r>
              <w:t xml:space="preserve">17 [10–24]</w:t>
            </w:r>
          </w:p>
        </w:tc>
        <w:tc>
          <w:tcPr/>
          <w:p>
            <w:pPr>
              <w:pStyle w:val="Compact"/>
            </w:pPr>
            <w:r>
              <w:t xml:space="preserve">14 [7–20]</w:t>
            </w:r>
          </w:p>
        </w:tc>
      </w:tr>
      <w:tr>
        <w:tc>
          <w:tcPr/>
          <w:p>
            <w:pPr>
              <w:pStyle w:val="Compact"/>
            </w:pPr>
            <w:r>
              <w:t xml:space="preserve">Dropouts (last active age &lt;20)</w:t>
            </w:r>
          </w:p>
        </w:tc>
        <w:tc>
          <w:tcPr/>
          <w:p>
            <w:pPr>
              <w:pStyle w:val="Compact"/>
            </w:pPr>
            <w:r>
              <w:rPr>
                <w:rStyle w:val="Revised"/>
              </w:rPr>
              <w:t xml:space="preserve">1,790</w:t>
            </w:r>
          </w:p>
        </w:tc>
        <w:tc>
          <w:tcPr/>
          <w:p>
            <w:pPr>
              <w:pStyle w:val="Compact"/>
            </w:pPr>
            <w:r>
              <w:t xml:space="preserve">8 [4–13]</w:t>
            </w:r>
          </w:p>
        </w:tc>
        <w:tc>
          <w:tcPr/>
          <w:p>
            <w:pPr>
              <w:pStyle w:val="Compact"/>
            </w:pPr>
            <w:r>
              <w:t xml:space="preserve">8 [3–14]</w:t>
            </w:r>
          </w:p>
        </w:tc>
        <w:tc>
          <w:tcPr/>
          <w:p>
            <w:pPr>
              <w:pStyle w:val="Compact"/>
            </w:pPr>
            <w:r>
              <w:t xml:space="preserve">3 [0–11]</w:t>
            </w:r>
          </w:p>
        </w:tc>
        <w:tc>
          <w:tcPr/>
          <w:p>
            <w:pPr>
              <w:pStyle w:val="Compact"/>
            </w:pPr>
            <w:r>
              <w:t xml:space="preserve">0 [0–7]</w:t>
            </w:r>
          </w:p>
        </w:tc>
        <w:tc>
          <w:tcPr/>
          <w:p>
            <w:pPr>
              <w:pStyle w:val="Compact"/>
            </w:pPr>
            <w:r>
              <w:t xml:space="preserve">0 [0–2]</w:t>
            </w:r>
          </w:p>
        </w:tc>
        <w:tc>
          <w:tcPr/>
          <w:p>
            <w:pPr>
              <w:pStyle w:val="Compact"/>
            </w:pPr>
            <w:r>
              <w:t xml:space="preserve">0 [0–0]</w:t>
            </w:r>
          </w:p>
        </w:tc>
      </w:tr>
    </w:tbl>
    <w:p>
      <w:pPr>
        <w:pStyle w:val="BodyText"/>
      </w:pPr>
      <w:r>
        <w:rPr>
          <w:i/>
          <w:iCs/>
        </w:rPr>
        <w:t xml:space="preserve">Note.</w:t>
      </w:r>
      <w:r>
        <w:t xml:space="preserve"> </w:t>
      </w:r>
      <w:r>
        <w:t xml:space="preserve">Values are median number of meets</w:t>
      </w:r>
      <w:r>
        <w:t xml:space="preserve"> </w:t>
      </w:r>
      <w:r>
        <w:rPr>
          <w:rStyle w:val="Revised"/>
        </w:rPr>
        <w:t xml:space="preserve">(competition days)</w:t>
      </w:r>
      <w:r>
        <w:t xml:space="preserve"> </w:t>
      </w:r>
      <w:r>
        <w:t xml:space="preserve">per year [IQR]. Future retainers and future dropouts already differ at ages 13–14; the gap widens further across the age-14-to-15 transition.</w:t>
      </w:r>
    </w:p>
    <w:p>
      <w:r>
        <w:pict>
          <v:rect style="width:0;height:1.5pt" o:hralign="center" o:hrstd="t" o:hr="t"/>
        </w:pict>
      </w:r>
    </w:p>
    <w:bookmarkEnd w:id="67"/>
    <w:bookmarkStart w:id="68" w:name="Xb8cde947c4ddc1e5df834e78ab22bae1a1fbba6"/>
    <w:p>
      <w:pPr>
        <w:pStyle w:val="Heading2"/>
      </w:pPr>
      <w:r>
        <w:t xml:space="preserve">Table 3. Primary analysis: prospective logistic regression for active senior status (baseline-only predictors, ages 13–14)</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c>
          <w:tcPr/>
          <w:p>
            <w:pPr>
              <w:pStyle w:val="Compact"/>
            </w:pPr>
            <w:r>
              <w:t xml:space="preserve">CV-AUC [95% CI]</w:t>
            </w:r>
          </w:p>
        </w:tc>
        <w:tc>
          <w:tcPr/>
          <w:p>
            <w:pPr>
              <w:pStyle w:val="Compact"/>
            </w:pPr>
            <w:r>
              <w:t xml:space="preserve">n</w:t>
            </w:r>
          </w:p>
        </w:tc>
      </w:tr>
      <w:tr>
        <w:tc>
          <w:tcPr/>
          <w:p>
            <w:pPr>
              <w:pStyle w:val="Compact"/>
            </w:pPr>
            <w:r>
              <w:t xml:space="preserve">L1: Sex only</w:t>
            </w:r>
          </w:p>
        </w:tc>
        <w:tc>
          <w:tcPr/>
          <w:p>
            <w:pPr>
              <w:pStyle w:val="Compact"/>
            </w:pPr>
            <w:r>
              <w:t xml:space="preserve">Female</w:t>
            </w:r>
          </w:p>
        </w:tc>
        <w:tc>
          <w:tcPr/>
          <w:p>
            <w:pPr>
              <w:pStyle w:val="Compact"/>
            </w:pPr>
            <w:r>
              <w:rPr>
                <w:rStyle w:val="Revised"/>
              </w:rPr>
              <w:t xml:space="preserve">0.75</w:t>
            </w:r>
          </w:p>
        </w:tc>
        <w:tc>
          <w:tcPr/>
          <w:p>
            <w:pPr>
              <w:pStyle w:val="Compact"/>
            </w:pPr>
            <w:r>
              <w:rPr>
                <w:rStyle w:val="Revised"/>
              </w:rPr>
              <w:t xml:space="preserve">[0.60, 0.95]</w:t>
            </w:r>
          </w:p>
        </w:tc>
        <w:tc>
          <w:tcPr/>
          <w:p>
            <w:pPr>
              <w:pStyle w:val="Compact"/>
            </w:pPr>
            <w:r>
              <w:rPr>
                <w:rStyle w:val="Revised"/>
              </w:rPr>
              <w:t xml:space="preserve">.016</w:t>
            </w:r>
          </w:p>
        </w:tc>
        <w:tc>
          <w:tcPr/>
          <w:p>
            <w:pPr>
              <w:pStyle w:val="Compact"/>
            </w:pPr>
            <w:r>
              <w:rPr>
                <w:rStyle w:val="Revised"/>
              </w:rPr>
              <w:t xml:space="preserve">0.535 [0.506, 0.565]</w:t>
            </w:r>
          </w:p>
        </w:tc>
        <w:tc>
          <w:tcPr/>
          <w:p>
            <w:pPr>
              <w:pStyle w:val="Compact"/>
            </w:pPr>
            <w:r>
              <w:rPr>
                <w:rStyle w:val="Revised"/>
              </w:rPr>
              <w:t xml:space="preserve">2,136</w:t>
            </w:r>
          </w:p>
        </w:tc>
      </w:tr>
      <w:tr>
        <w:tc>
          <w:tcPr/>
          <w:p>
            <w:pPr>
              <w:pStyle w:val="Compact"/>
            </w:pPr>
            <w:r>
              <w:t xml:space="preserve">L2: + Performance</w:t>
            </w:r>
          </w:p>
        </w:tc>
        <w:tc>
          <w:tcPr/>
          <w:p>
            <w:pPr>
              <w:pStyle w:val="Compact"/>
            </w:pPr>
            <w:r>
              <w:t xml:space="preserve">Female</w:t>
            </w:r>
          </w:p>
        </w:tc>
        <w:tc>
          <w:tcPr/>
          <w:p>
            <w:pPr>
              <w:pStyle w:val="Compact"/>
            </w:pPr>
            <w:r>
              <w:rPr>
                <w:rStyle w:val="Revised"/>
              </w:rPr>
              <w:t xml:space="preserve">0.63</w:t>
            </w:r>
          </w:p>
        </w:tc>
        <w:tc>
          <w:tcPr/>
          <w:p>
            <w:pPr>
              <w:pStyle w:val="Compact"/>
            </w:pPr>
            <w:r>
              <w:rPr>
                <w:rStyle w:val="Revised"/>
              </w:rPr>
              <w:t xml:space="preserve">[0.50, 0.80]</w:t>
            </w:r>
          </w:p>
        </w:tc>
        <w:tc>
          <w:tcPr/>
          <w:p>
            <w:pPr>
              <w:pStyle w:val="Compact"/>
            </w:pPr>
            <w:r>
              <w:rPr>
                <w:rStyle w:val="Revised"/>
              </w:rPr>
              <w:t xml:space="preserve">&lt; .001</w:t>
            </w:r>
          </w:p>
        </w:tc>
        <w:tc>
          <w:tcPr/>
          <w:p>
            <w:pPr>
              <w:pStyle w:val="Compact"/>
            </w:pPr>
            <w:r>
              <w:rPr>
                <w:rStyle w:val="Revised"/>
              </w:rPr>
              <w:t xml:space="preserve">0.700 [0.671, 0.730]</w:t>
            </w:r>
          </w:p>
        </w:tc>
        <w:tc>
          <w:tcPr/>
          <w:p>
            <w:pPr>
              <w:pStyle w:val="Compact"/>
            </w:pPr>
            <w:r>
              <w:rPr>
                <w:rStyle w:val="Revised"/>
              </w:rPr>
              <w:t xml:space="preserve">2,136</w:t>
            </w:r>
          </w:p>
        </w:tc>
      </w:tr>
      <w:tr>
        <w:tc>
          <w:tcPr/>
          <w:p>
            <w:pPr>
              <w:pStyle w:val="Compact"/>
            </w:pPr>
          </w:p>
        </w:tc>
        <w:tc>
          <w:tcPr/>
          <w:p>
            <w:pPr>
              <w:pStyle w:val="Compact"/>
            </w:pPr>
            <w:r>
              <w:t xml:space="preserve">Tyrving (z)</w:t>
            </w:r>
          </w:p>
        </w:tc>
        <w:tc>
          <w:tcPr/>
          <w:p>
            <w:pPr>
              <w:pStyle w:val="Compact"/>
            </w:pPr>
            <w:r>
              <w:rPr>
                <w:rStyle w:val="Revised"/>
              </w:rPr>
              <w:t xml:space="preserve">2.54</w:t>
            </w:r>
          </w:p>
        </w:tc>
        <w:tc>
          <w:tcPr/>
          <w:p>
            <w:pPr>
              <w:pStyle w:val="Compact"/>
            </w:pPr>
            <w:r>
              <w:rPr>
                <w:rStyle w:val="Revised"/>
              </w:rPr>
              <w:t xml:space="preserve">[2.14, 3.02]</w:t>
            </w:r>
          </w:p>
        </w:tc>
        <w:tc>
          <w:tcPr/>
          <w:p>
            <w:pPr>
              <w:pStyle w:val="Compact"/>
            </w:pPr>
            <w:r>
              <w:t xml:space="preserve">&lt; .001</w:t>
            </w:r>
          </w:p>
        </w:tc>
        <w:tc>
          <w:tcPr/>
          <w:p>
            <w:pPr>
              <w:pStyle w:val="Compact"/>
            </w:pPr>
          </w:p>
        </w:tc>
        <w:tc>
          <w:tcPr/>
          <w:p>
            <w:pPr>
              <w:pStyle w:val="Compact"/>
            </w:pPr>
          </w:p>
        </w:tc>
      </w:tr>
      <w:tr>
        <w:tc>
          <w:tcPr/>
          <w:p>
            <w:pPr>
              <w:pStyle w:val="Compact"/>
            </w:pPr>
            <w:r>
              <w:rPr>
                <w:rStyle w:val="Revised"/>
              </w:rPr>
              <w:t xml:space="preserve">L3: + Event concentration</w:t>
            </w:r>
          </w:p>
        </w:tc>
        <w:tc>
          <w:tcPr/>
          <w:p>
            <w:pPr>
              <w:pStyle w:val="Compact"/>
            </w:pPr>
            <w:r>
              <w:t xml:space="preserve">Female</w:t>
            </w:r>
          </w:p>
        </w:tc>
        <w:tc>
          <w:tcPr/>
          <w:p>
            <w:pPr>
              <w:pStyle w:val="Compact"/>
            </w:pPr>
            <w:r>
              <w:rPr>
                <w:rStyle w:val="Revised"/>
              </w:rPr>
              <w:t xml:space="preserve">0.63</w:t>
            </w:r>
          </w:p>
        </w:tc>
        <w:tc>
          <w:tcPr/>
          <w:p>
            <w:pPr>
              <w:pStyle w:val="Compact"/>
            </w:pPr>
            <w:r>
              <w:rPr>
                <w:rStyle w:val="Revised"/>
              </w:rPr>
              <w:t xml:space="preserve">[0.50, 0.80]</w:t>
            </w:r>
          </w:p>
        </w:tc>
        <w:tc>
          <w:tcPr/>
          <w:p>
            <w:pPr>
              <w:pStyle w:val="Compact"/>
            </w:pPr>
            <w:r>
              <w:rPr>
                <w:rStyle w:val="Revised"/>
              </w:rPr>
              <w:t xml:space="preserve">&lt; .001</w:t>
            </w:r>
          </w:p>
        </w:tc>
        <w:tc>
          <w:tcPr/>
          <w:p>
            <w:pPr>
              <w:pStyle w:val="Compact"/>
            </w:pPr>
            <w:r>
              <w:rPr>
                <w:rStyle w:val="Revised"/>
              </w:rPr>
              <w:t xml:space="preserve">0.698 [0.668, 0.728]</w:t>
            </w:r>
          </w:p>
        </w:tc>
        <w:tc>
          <w:tcPr/>
          <w:p>
            <w:pPr>
              <w:pStyle w:val="Compact"/>
            </w:pPr>
            <w:r>
              <w:rPr>
                <w:rStyle w:val="Revised"/>
              </w:rPr>
              <w:t xml:space="preserve">2,136</w:t>
            </w:r>
          </w:p>
        </w:tc>
      </w:tr>
      <w:tr>
        <w:tc>
          <w:tcPr/>
          <w:p>
            <w:pPr>
              <w:pStyle w:val="Compact"/>
            </w:pPr>
          </w:p>
        </w:tc>
        <w:tc>
          <w:tcPr/>
          <w:p>
            <w:pPr>
              <w:pStyle w:val="Compact"/>
            </w:pPr>
            <w:r>
              <w:t xml:space="preserve">Tyrving (z)</w:t>
            </w:r>
          </w:p>
        </w:tc>
        <w:tc>
          <w:tcPr/>
          <w:p>
            <w:pPr>
              <w:pStyle w:val="Compact"/>
            </w:pPr>
            <w:r>
              <w:rPr>
                <w:rStyle w:val="Revised"/>
              </w:rPr>
              <w:t xml:space="preserve">2.54</w:t>
            </w:r>
          </w:p>
        </w:tc>
        <w:tc>
          <w:tcPr/>
          <w:p>
            <w:pPr>
              <w:pStyle w:val="Compact"/>
            </w:pPr>
            <w:r>
              <w:rPr>
                <w:rStyle w:val="Revised"/>
              </w:rPr>
              <w:t xml:space="preserve">[2.14, 3.02]</w:t>
            </w:r>
          </w:p>
        </w:tc>
        <w:tc>
          <w:tcPr/>
          <w:p>
            <w:pPr>
              <w:pStyle w:val="Compact"/>
            </w:pPr>
            <w:r>
              <w:t xml:space="preserve">&lt; .001</w:t>
            </w:r>
          </w:p>
        </w:tc>
        <w:tc>
          <w:tcPr/>
          <w:p>
            <w:pPr>
              <w:pStyle w:val="Compact"/>
            </w:pPr>
          </w:p>
        </w:tc>
        <w:tc>
          <w:tcPr/>
          <w:p>
            <w:pPr>
              <w:pStyle w:val="Compact"/>
            </w:pPr>
          </w:p>
        </w:tc>
      </w:tr>
      <w:tr>
        <w:tc>
          <w:tcPr/>
          <w:p>
            <w:pPr>
              <w:pStyle w:val="Compact"/>
            </w:pPr>
          </w:p>
        </w:tc>
        <w:tc>
          <w:tcPr/>
          <w:p>
            <w:pPr>
              <w:pStyle w:val="Compact"/>
            </w:pPr>
            <w:r>
              <w:rPr>
                <w:rStyle w:val="Revised"/>
              </w:rPr>
              <w:t xml:space="preserve">HHI, ages 13–14 (z)</w:t>
            </w:r>
          </w:p>
        </w:tc>
        <w:tc>
          <w:tcPr/>
          <w:p>
            <w:pPr>
              <w:pStyle w:val="Compact"/>
            </w:pPr>
            <w:r>
              <w:rPr>
                <w:rStyle w:val="Revised"/>
              </w:rPr>
              <w:t xml:space="preserve">1.00</w:t>
            </w:r>
          </w:p>
        </w:tc>
        <w:tc>
          <w:tcPr/>
          <w:p>
            <w:pPr>
              <w:pStyle w:val="Compact"/>
            </w:pPr>
            <w:r>
              <w:rPr>
                <w:rStyle w:val="Revised"/>
              </w:rPr>
              <w:t xml:space="preserve">[0.89, 1.13]</w:t>
            </w:r>
          </w:p>
        </w:tc>
        <w:tc>
          <w:tcPr/>
          <w:p>
            <w:pPr>
              <w:pStyle w:val="Compact"/>
            </w:pPr>
            <w:r>
              <w:rPr>
                <w:rStyle w:val="Revised"/>
              </w:rPr>
              <w:t xml:space="preserve">.956</w:t>
            </w:r>
          </w:p>
        </w:tc>
        <w:tc>
          <w:tcPr/>
          <w:p>
            <w:pPr>
              <w:pStyle w:val="Compact"/>
            </w:pPr>
          </w:p>
        </w:tc>
        <w:tc>
          <w:tcPr/>
          <w:p>
            <w:pPr>
              <w:pStyle w:val="Compact"/>
            </w:pPr>
          </w:p>
        </w:tc>
      </w:tr>
      <w:tr>
        <w:tc>
          <w:tcPr/>
          <w:p>
            <w:pPr>
              <w:pStyle w:val="Compact"/>
            </w:pPr>
            <w:r>
              <w:t xml:space="preserve">L4: + Pre-milestone volume</w:t>
            </w:r>
          </w:p>
        </w:tc>
        <w:tc>
          <w:tcPr/>
          <w:p>
            <w:pPr>
              <w:pStyle w:val="Compact"/>
            </w:pPr>
            <w:r>
              <w:t xml:space="preserve">Female</w:t>
            </w:r>
          </w:p>
        </w:tc>
        <w:tc>
          <w:tcPr/>
          <w:p>
            <w:pPr>
              <w:pStyle w:val="Compact"/>
            </w:pPr>
            <w:r>
              <w:rPr>
                <w:rStyle w:val="Revised"/>
              </w:rPr>
              <w:t xml:space="preserve">0.56</w:t>
            </w:r>
          </w:p>
        </w:tc>
        <w:tc>
          <w:tcPr/>
          <w:p>
            <w:pPr>
              <w:pStyle w:val="Compact"/>
            </w:pPr>
            <w:r>
              <w:rPr>
                <w:rStyle w:val="Revised"/>
              </w:rPr>
              <w:t xml:space="preserve">[0.43, 0.72]</w:t>
            </w:r>
          </w:p>
        </w:tc>
        <w:tc>
          <w:tcPr/>
          <w:p>
            <w:pPr>
              <w:pStyle w:val="Compact"/>
            </w:pPr>
            <w:r>
              <w:t xml:space="preserve">&lt; .001</w:t>
            </w:r>
          </w:p>
        </w:tc>
        <w:tc>
          <w:tcPr/>
          <w:p>
            <w:pPr>
              <w:pStyle w:val="Compact"/>
            </w:pPr>
            <w:r>
              <w:rPr>
                <w:rStyle w:val="Revised"/>
                <w:b/>
                <w:bCs/>
              </w:rPr>
              <w:t xml:space="preserve">0.767</w:t>
            </w:r>
            <w:r>
              <w:rPr>
                <w:rStyle w:val="Revised"/>
              </w:rPr>
              <w:t xml:space="preserve"> </w:t>
            </w:r>
            <w:r>
              <w:rPr>
                <w:rStyle w:val="Revised"/>
              </w:rPr>
              <w:t xml:space="preserve">[0.737, 0.797]</w:t>
            </w:r>
          </w:p>
        </w:tc>
        <w:tc>
          <w:tcPr/>
          <w:p>
            <w:pPr>
              <w:pStyle w:val="Compact"/>
            </w:pPr>
            <w:r>
              <w:rPr>
                <w:rStyle w:val="Revised"/>
              </w:rPr>
              <w:t xml:space="preserve">2,136</w:t>
            </w:r>
          </w:p>
        </w:tc>
      </w:tr>
      <w:tr>
        <w:tc>
          <w:tcPr/>
          <w:p>
            <w:pPr>
              <w:pStyle w:val="Compact"/>
            </w:pPr>
          </w:p>
        </w:tc>
        <w:tc>
          <w:tcPr/>
          <w:p>
            <w:pPr>
              <w:pStyle w:val="Compact"/>
            </w:pPr>
            <w:r>
              <w:t xml:space="preserve">Tyrving (z)</w:t>
            </w:r>
          </w:p>
        </w:tc>
        <w:tc>
          <w:tcPr/>
          <w:p>
            <w:pPr>
              <w:pStyle w:val="Compact"/>
            </w:pPr>
            <w:r>
              <w:rPr>
                <w:rStyle w:val="Revised"/>
              </w:rPr>
              <w:t xml:space="preserve">1.75</w:t>
            </w:r>
          </w:p>
        </w:tc>
        <w:tc>
          <w:tcPr/>
          <w:p>
            <w:pPr>
              <w:pStyle w:val="Compact"/>
            </w:pPr>
            <w:r>
              <w:rPr>
                <w:rStyle w:val="Revised"/>
              </w:rPr>
              <w:t xml:space="preserve">[1.47, 2.08]</w:t>
            </w:r>
          </w:p>
        </w:tc>
        <w:tc>
          <w:tcPr/>
          <w:p>
            <w:pPr>
              <w:pStyle w:val="Compact"/>
            </w:pPr>
            <w:r>
              <w:rPr>
                <w:rStyle w:val="Revised"/>
              </w:rPr>
              <w:t xml:space="preserve">&lt; .001</w:t>
            </w:r>
          </w:p>
        </w:tc>
        <w:tc>
          <w:tcPr/>
          <w:p>
            <w:pPr>
              <w:pStyle w:val="Compact"/>
            </w:pPr>
          </w:p>
        </w:tc>
        <w:tc>
          <w:tcPr/>
          <w:p>
            <w:pPr>
              <w:pStyle w:val="Compact"/>
            </w:pPr>
          </w:p>
        </w:tc>
      </w:tr>
      <w:tr>
        <w:tc>
          <w:tcPr/>
          <w:p>
            <w:pPr>
              <w:pStyle w:val="Compact"/>
            </w:pPr>
          </w:p>
        </w:tc>
        <w:tc>
          <w:tcPr/>
          <w:p>
            <w:pPr>
              <w:pStyle w:val="Compact"/>
            </w:pPr>
            <w:r>
              <w:rPr>
                <w:rStyle w:val="Revised"/>
              </w:rPr>
              <w:t xml:space="preserve">HHI, ages 13–14 (z)</w:t>
            </w:r>
          </w:p>
        </w:tc>
        <w:tc>
          <w:tcPr/>
          <w:p>
            <w:pPr>
              <w:pStyle w:val="Compact"/>
            </w:pPr>
            <w:r>
              <w:rPr>
                <w:rStyle w:val="Revised"/>
              </w:rPr>
              <w:t xml:space="preserve">1.18</w:t>
            </w:r>
          </w:p>
        </w:tc>
        <w:tc>
          <w:tcPr/>
          <w:p>
            <w:pPr>
              <w:pStyle w:val="Compact"/>
            </w:pPr>
            <w:r>
              <w:rPr>
                <w:rStyle w:val="Revised"/>
              </w:rPr>
              <w:t xml:space="preserve">[1.04, 1.34]</w:t>
            </w:r>
          </w:p>
        </w:tc>
        <w:tc>
          <w:tcPr/>
          <w:p>
            <w:pPr>
              <w:pStyle w:val="Compact"/>
            </w:pPr>
            <w:r>
              <w:rPr>
                <w:rStyle w:val="Revised"/>
              </w:rPr>
              <w:t xml:space="preserve">.012</w:t>
            </w:r>
          </w:p>
        </w:tc>
        <w:tc>
          <w:tcPr/>
          <w:p>
            <w:pPr>
              <w:pStyle w:val="Compact"/>
            </w:pPr>
          </w:p>
        </w:tc>
        <w:tc>
          <w:tcPr/>
          <w:p>
            <w:pPr>
              <w:pStyle w:val="Compact"/>
            </w:pPr>
          </w:p>
        </w:tc>
      </w:tr>
      <w:tr>
        <w:tc>
          <w:tcPr/>
          <w:p>
            <w:pPr>
              <w:pStyle w:val="Compact"/>
            </w:pPr>
          </w:p>
        </w:tc>
        <w:tc>
          <w:tcPr/>
          <w:p>
            <w:pPr>
              <w:pStyle w:val="Compact"/>
            </w:pPr>
            <w:r>
              <w:rPr>
                <w:b/>
                <w:bCs/>
              </w:rPr>
              <w:t xml:space="preserve">Pre-milestone volume (z)</w:t>
            </w:r>
          </w:p>
        </w:tc>
        <w:tc>
          <w:tcPr/>
          <w:p>
            <w:pPr>
              <w:pStyle w:val="Compact"/>
            </w:pPr>
            <w:r>
              <w:rPr>
                <w:rStyle w:val="Revised"/>
                <w:b/>
                <w:bCs/>
              </w:rPr>
              <w:t xml:space="preserve">2.04</w:t>
            </w:r>
          </w:p>
        </w:tc>
        <w:tc>
          <w:tcPr/>
          <w:p>
            <w:pPr>
              <w:pStyle w:val="Compact"/>
            </w:pPr>
            <w:r>
              <w:rPr>
                <w:rStyle w:val="Revised"/>
                <w:b/>
                <w:bCs/>
              </w:rPr>
              <w:t xml:space="preserve">[1.80, 2.32]</w:t>
            </w:r>
          </w:p>
        </w:tc>
        <w:tc>
          <w:tcPr/>
          <w:p>
            <w:pPr>
              <w:pStyle w:val="Compact"/>
            </w:pPr>
            <w:r>
              <w:rPr>
                <w:b/>
                <w:bCs/>
              </w:rPr>
              <w:t xml:space="preserve">&lt; .001</w:t>
            </w:r>
          </w:p>
        </w:tc>
        <w:tc>
          <w:tcPr/>
          <w:p>
            <w:pPr>
              <w:pStyle w:val="Compact"/>
            </w:pPr>
          </w:p>
        </w:tc>
        <w:tc>
          <w:tcPr/>
          <w:p>
            <w:pPr>
              <w:pStyle w:val="Compact"/>
            </w:pPr>
          </w:p>
        </w:tc>
      </w:tr>
    </w:tbl>
    <w:p>
      <w:pPr>
        <w:pStyle w:val="BodyText"/>
      </w:pPr>
      <w:r>
        <w:rPr>
          <w:i/>
          <w:iCs/>
        </w:rPr>
        <w:t xml:space="preserve">Note.</w:t>
      </w:r>
      <w:r>
        <w:t xml:space="preserve"> </w:t>
      </w:r>
      <w:r>
        <w:t xml:space="preserve">Logistic regression for binary active senior status (≥2 registered results in any year at age 20+). Predictors are observed during the baseline window (ages 13–14)</w:t>
      </w:r>
      <w:r>
        <w:t xml:space="preserve"> </w:t>
      </w:r>
      <w:r>
        <w:rPr>
          <w:rStyle w:val="Revised"/>
        </w:rPr>
        <w:t xml:space="preserve">only, including HHI (results at ages 13–14).</w:t>
      </w:r>
      <w:r>
        <w:t xml:space="preserve"> </w:t>
      </w:r>
      <w:r>
        <w:t xml:space="preserve">Pre-milestone volume is the</w:t>
      </w:r>
      <w:r>
        <w:t xml:space="preserve"> </w:t>
      </w:r>
      <w:r>
        <w:rPr>
          <w:rStyle w:val="Revised"/>
        </w:rPr>
        <w:t xml:space="preserve">number</w:t>
      </w:r>
      <w:r>
        <w:t xml:space="preserve"> </w:t>
      </w:r>
      <w:r>
        <w:t xml:space="preserve">of meets</w:t>
      </w:r>
      <w:r>
        <w:t xml:space="preserve"> </w:t>
      </w:r>
      <w:r>
        <w:rPr>
          <w:rStyle w:val="Revised"/>
        </w:rPr>
        <w:t xml:space="preserve">(competition days)</w:t>
      </w:r>
      <w:r>
        <w:t xml:space="preserve"> </w:t>
      </w:r>
      <w:r>
        <w:t xml:space="preserve">at ages 13 and 14. Continuous covariates are z-standardized so ORs reflect per-SD effects.</w:t>
      </w:r>
      <w:r>
        <w:t xml:space="preserve"> </w:t>
      </w:r>
      <w:r>
        <w:rPr>
          <w:rStyle w:val="Revised"/>
        </w:rPr>
        <w:t xml:space="preserve">CV-AUC: mean of fold-level AUCs from stratified 5-fold cross-validation repeated 20 times, with standardization inside the training folds; 95% CI from the corrected resampled t (Supplementary Methods S-M4). Adding volume raised the</w:t>
      </w:r>
      <w:r>
        <w:t xml:space="preserve"> </w:t>
      </w:r>
      <w:r>
        <w:t xml:space="preserve">AUC</w:t>
      </w:r>
      <w:r>
        <w:t xml:space="preserve"> </w:t>
      </w:r>
      <w:r>
        <w:rPr>
          <w:rStyle w:val="Revised"/>
        </w:rPr>
        <w:t xml:space="preserve">by 0.069 (95% CI 0.047 to 0.091; Supplementary Table S27). HHI</w:t>
      </w:r>
      <w:r>
        <w:t xml:space="preserve"> </w:t>
      </w:r>
      <w:r>
        <w:t xml:space="preserve">is</w:t>
      </w:r>
      <w:r>
        <w:t xml:space="preserve"> </w:t>
      </w:r>
      <w:r>
        <w:rPr>
          <w:rStyle w:val="Revised"/>
        </w:rPr>
        <w:t xml:space="preserve">associated with retention only</w:t>
      </w:r>
      <w:r>
        <w:t xml:space="preserve"> </w:t>
      </w:r>
      <w:r>
        <w:t xml:space="preserve">once volume is</w:t>
      </w:r>
      <w:r>
        <w:t xml:space="preserve"> </w:t>
      </w:r>
      <w:r>
        <w:rPr>
          <w:rStyle w:val="Revised"/>
        </w:rPr>
        <w:t xml:space="preserve">entered, does not improve discrimination, and is not robust to performance in</w:t>
      </w:r>
      <w:r>
        <w:t xml:space="preserve"> </w:t>
      </w:r>
      <w:r>
        <w:t xml:space="preserve">the</w:t>
      </w:r>
      <w:r>
        <w:t xml:space="preserve"> </w:t>
      </w:r>
      <w:r>
        <w:rPr>
          <w:rStyle w:val="Revised"/>
        </w:rPr>
        <w:t xml:space="preserve">athlete’s main</w:t>
      </w:r>
      <w:r>
        <w:t xml:space="preserve"> </w:t>
      </w:r>
      <w:r>
        <w:t xml:space="preserve">event</w:t>
      </w:r>
      <w:r>
        <w:t xml:space="preserve"> </w:t>
      </w:r>
      <w:r>
        <w:rPr>
          <w:rStyle w:val="Revised"/>
        </w:rPr>
        <w:t xml:space="preserve">category (Supplementary Table S18;</w:t>
      </w:r>
      <w:r>
        <w:t xml:space="preserve"> </w:t>
      </w:r>
      <w:r>
        <w:t xml:space="preserve">Discussion 4.6).</w:t>
      </w:r>
    </w:p>
    <w:p>
      <w:r>
        <w:pict>
          <v:rect style="width:0;height:1.5pt" o:hralign="center" o:hrstd="t" o:hr="t"/>
        </w:pict>
      </w:r>
    </w:p>
    <w:bookmarkEnd w:id="68"/>
    <w:bookmarkStart w:id="69" w:name="X54bb78f710ccb0bc337f0df45efa97f675d2c79"/>
    <w:p>
      <w:pPr>
        <w:pStyle w:val="Heading2"/>
      </w:pPr>
      <w:r>
        <w:t xml:space="preserve">Table 4.</w:t>
      </w:r>
      <w:r>
        <w:t xml:space="preserve"> </w:t>
      </w:r>
      <w:r>
        <w:rPr>
          <w:rStyle w:val="Revised"/>
        </w:rPr>
        <w:t xml:space="preserve">Level</w:t>
      </w:r>
      <w:r>
        <w:t xml:space="preserve"> </w:t>
      </w:r>
      <w:r>
        <w:t xml:space="preserve">versus</w:t>
      </w:r>
      <w:r>
        <w:t xml:space="preserve"> </w:t>
      </w:r>
      <w:r>
        <w:rPr>
          <w:rStyle w:val="Revised"/>
        </w:rPr>
        <w:t xml:space="preserve">within-athlete change:</w:t>
      </w:r>
      <w:r>
        <w:t xml:space="preserve"> </w:t>
      </w:r>
      <w:r>
        <w:t xml:space="preserve">volume</w:t>
      </w:r>
      <w:r>
        <w:t xml:space="preserve"> </w:t>
      </w:r>
      <w:r>
        <w:rPr>
          <w:rStyle w:val="Revised"/>
        </w:rPr>
        <w:t xml:space="preserve">at age 14</w:t>
      </w:r>
      <w:r>
        <w:t xml:space="preserve"> </w:t>
      </w:r>
      <w:r>
        <w:t xml:space="preserve">and change</w:t>
      </w:r>
      <w:r>
        <w:t xml:space="preserve"> </w:t>
      </w:r>
      <w:r>
        <w:rPr>
          <w:rStyle w:val="Revised"/>
        </w:rPr>
        <w:t xml:space="preserve">from 14 to 15</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Covariate</w:t>
            </w:r>
          </w:p>
        </w:tc>
        <w:tc>
          <w:tcPr/>
          <w:p>
            <w:pPr>
              <w:pStyle w:val="Compact"/>
            </w:pPr>
            <w:r>
              <w:t xml:space="preserve">OR per SD</w:t>
            </w:r>
          </w:p>
        </w:tc>
        <w:tc>
          <w:tcPr/>
          <w:p>
            <w:pPr>
              <w:pStyle w:val="Compact"/>
            </w:pPr>
            <w:r>
              <w:t xml:space="preserve">95% CI</w:t>
            </w:r>
          </w:p>
        </w:tc>
        <w:tc>
          <w:tcPr/>
          <w:p>
            <w:pPr>
              <w:pStyle w:val="Compact"/>
            </w:pPr>
            <w:r>
              <w:t xml:space="preserve">p</w:t>
            </w:r>
          </w:p>
        </w:tc>
      </w:tr>
      <w:tr>
        <w:tc>
          <w:tcPr/>
          <w:p>
            <w:pPr>
              <w:pStyle w:val="Compact"/>
            </w:pPr>
            <w:r>
              <w:t xml:space="preserve">M1: Volume at age 14 only</w:t>
            </w:r>
          </w:p>
        </w:tc>
        <w:tc>
          <w:tcPr/>
          <w:p>
            <w:pPr>
              <w:pStyle w:val="Compact"/>
            </w:pPr>
            <w:r>
              <w:t xml:space="preserve">Female</w:t>
            </w:r>
          </w:p>
        </w:tc>
        <w:tc>
          <w:tcPr/>
          <w:p>
            <w:pPr>
              <w:pStyle w:val="Compact"/>
            </w:pPr>
            <w:r>
              <w:rPr>
                <w:rStyle w:val="Revised"/>
              </w:rPr>
              <w:t xml:space="preserve">0.55</w:t>
            </w:r>
          </w:p>
        </w:tc>
        <w:tc>
          <w:tcPr/>
          <w:p>
            <w:pPr>
              <w:pStyle w:val="Compact"/>
            </w:pPr>
            <w:r>
              <w:rPr>
                <w:rStyle w:val="Revised"/>
              </w:rPr>
              <w:t xml:space="preserve">[0.42, 0.71]</w:t>
            </w:r>
          </w:p>
        </w:tc>
        <w:tc>
          <w:tcPr/>
          <w:p>
            <w:pPr>
              <w:pStyle w:val="Compact"/>
            </w:pPr>
            <w:r>
              <w:t xml:space="preserve">&lt; .001</w:t>
            </w:r>
          </w:p>
        </w:tc>
      </w:tr>
      <w:tr>
        <w:tc>
          <w:tcPr/>
          <w:p>
            <w:pPr>
              <w:pStyle w:val="Compact"/>
            </w:pPr>
          </w:p>
        </w:tc>
        <w:tc>
          <w:tcPr/>
          <w:p>
            <w:pPr>
              <w:pStyle w:val="Compact"/>
            </w:pPr>
            <w:r>
              <w:t xml:space="preserve">Tyrving (z)</w:t>
            </w:r>
          </w:p>
        </w:tc>
        <w:tc>
          <w:tcPr/>
          <w:p>
            <w:pPr>
              <w:pStyle w:val="Compact"/>
            </w:pPr>
            <w:r>
              <w:rPr>
                <w:rStyle w:val="Revised"/>
              </w:rPr>
              <w:t xml:space="preserve">1.79</w:t>
            </w:r>
          </w:p>
        </w:tc>
        <w:tc>
          <w:tcPr/>
          <w:p>
            <w:pPr>
              <w:pStyle w:val="Compact"/>
            </w:pPr>
            <w:r>
              <w:rPr>
                <w:rStyle w:val="Revised"/>
              </w:rPr>
              <w:t xml:space="preserve">[1.50, 2.13]</w:t>
            </w:r>
          </w:p>
        </w:tc>
        <w:tc>
          <w:tcPr/>
          <w:p>
            <w:pPr>
              <w:pStyle w:val="Compact"/>
            </w:pPr>
            <w:r>
              <w:rPr>
                <w:rStyle w:val="Revised"/>
              </w:rPr>
              <w:t xml:space="preserve">&lt; .001</w:t>
            </w:r>
          </w:p>
        </w:tc>
      </w:tr>
      <w:tr>
        <w:tc>
          <w:tcPr/>
          <w:p>
            <w:pPr>
              <w:pStyle w:val="Compact"/>
            </w:pPr>
          </w:p>
        </w:tc>
        <w:tc>
          <w:tcPr/>
          <w:p>
            <w:pPr>
              <w:pStyle w:val="Compact"/>
            </w:pPr>
            <w:r>
              <w:rPr>
                <w:b/>
                <w:bCs/>
              </w:rPr>
              <w:t xml:space="preserve">Volume at age 14 (z)</w:t>
            </w:r>
          </w:p>
        </w:tc>
        <w:tc>
          <w:tcPr/>
          <w:p>
            <w:pPr>
              <w:pStyle w:val="Compact"/>
            </w:pPr>
            <w:r>
              <w:rPr>
                <w:rStyle w:val="Revised"/>
                <w:b/>
                <w:bCs/>
              </w:rPr>
              <w:t xml:space="preserve">2.05</w:t>
            </w:r>
          </w:p>
        </w:tc>
        <w:tc>
          <w:tcPr/>
          <w:p>
            <w:pPr>
              <w:pStyle w:val="Compact"/>
            </w:pPr>
            <w:r>
              <w:rPr>
                <w:rStyle w:val="Revised"/>
                <w:b/>
                <w:bCs/>
              </w:rPr>
              <w:t xml:space="preserve">[1.80, 2.33]</w:t>
            </w:r>
          </w:p>
        </w:tc>
        <w:tc>
          <w:tcPr/>
          <w:p>
            <w:pPr>
              <w:pStyle w:val="Compact"/>
            </w:pPr>
            <w:r>
              <w:rPr>
                <w:b/>
                <w:bCs/>
              </w:rPr>
              <w:t xml:space="preserve">&lt; .001</w:t>
            </w:r>
          </w:p>
        </w:tc>
      </w:tr>
      <w:tr>
        <w:tc>
          <w:tcPr/>
          <w:p>
            <w:pPr>
              <w:pStyle w:val="Compact"/>
            </w:pPr>
            <w:r>
              <w:t xml:space="preserve">M2: + Volume change 14→15</w:t>
            </w:r>
          </w:p>
        </w:tc>
        <w:tc>
          <w:tcPr/>
          <w:p>
            <w:pPr>
              <w:pStyle w:val="Compact"/>
            </w:pPr>
            <w:r>
              <w:t xml:space="preserve">Female</w:t>
            </w:r>
          </w:p>
        </w:tc>
        <w:tc>
          <w:tcPr/>
          <w:p>
            <w:pPr>
              <w:pStyle w:val="Compact"/>
            </w:pPr>
            <w:r>
              <w:rPr>
                <w:rStyle w:val="Revised"/>
              </w:rPr>
              <w:t xml:space="preserve">0.55</w:t>
            </w:r>
          </w:p>
        </w:tc>
        <w:tc>
          <w:tcPr/>
          <w:p>
            <w:pPr>
              <w:pStyle w:val="Compact"/>
            </w:pPr>
            <w:r>
              <w:rPr>
                <w:rStyle w:val="Revised"/>
              </w:rPr>
              <w:t xml:space="preserve">[0.42, 0.72]</w:t>
            </w:r>
          </w:p>
        </w:tc>
        <w:tc>
          <w:tcPr/>
          <w:p>
            <w:pPr>
              <w:pStyle w:val="Compact"/>
            </w:pPr>
            <w:r>
              <w:t xml:space="preserve">&lt; .001</w:t>
            </w:r>
          </w:p>
        </w:tc>
      </w:tr>
      <w:tr>
        <w:tc>
          <w:tcPr/>
          <w:p>
            <w:pPr>
              <w:pStyle w:val="Compact"/>
            </w:pPr>
          </w:p>
        </w:tc>
        <w:tc>
          <w:tcPr/>
          <w:p>
            <w:pPr>
              <w:pStyle w:val="Compact"/>
            </w:pPr>
            <w:r>
              <w:t xml:space="preserve">Tyrving (z)</w:t>
            </w:r>
          </w:p>
        </w:tc>
        <w:tc>
          <w:tcPr/>
          <w:p>
            <w:pPr>
              <w:pStyle w:val="Compact"/>
            </w:pPr>
            <w:r>
              <w:rPr>
                <w:rStyle w:val="Revised"/>
              </w:rPr>
              <w:t xml:space="preserve">1.59</w:t>
            </w:r>
          </w:p>
        </w:tc>
        <w:tc>
          <w:tcPr/>
          <w:p>
            <w:pPr>
              <w:pStyle w:val="Compact"/>
            </w:pPr>
            <w:r>
              <w:rPr>
                <w:rStyle w:val="Revised"/>
              </w:rPr>
              <w:t xml:space="preserve">[1.33, 1.91]</w:t>
            </w:r>
          </w:p>
        </w:tc>
        <w:tc>
          <w:tcPr/>
          <w:p>
            <w:pPr>
              <w:pStyle w:val="Compact"/>
            </w:pPr>
            <w:r>
              <w:rPr>
                <w:rStyle w:val="Revised"/>
              </w:rPr>
              <w:t xml:space="preserve">&lt; .001</w:t>
            </w:r>
          </w:p>
        </w:tc>
      </w:tr>
      <w:tr>
        <w:tc>
          <w:tcPr/>
          <w:p>
            <w:pPr>
              <w:pStyle w:val="Compact"/>
            </w:pPr>
          </w:p>
        </w:tc>
        <w:tc>
          <w:tcPr/>
          <w:p>
            <w:pPr>
              <w:pStyle w:val="Compact"/>
            </w:pPr>
            <w:r>
              <w:rPr>
                <w:b/>
                <w:bCs/>
              </w:rPr>
              <w:t xml:space="preserve">Volume at age 14 (z)</w:t>
            </w:r>
          </w:p>
        </w:tc>
        <w:tc>
          <w:tcPr/>
          <w:p>
            <w:pPr>
              <w:pStyle w:val="Compact"/>
            </w:pPr>
            <w:r>
              <w:rPr>
                <w:rStyle w:val="Revised"/>
                <w:b/>
                <w:bCs/>
              </w:rPr>
              <w:t xml:space="preserve">2.51</w:t>
            </w:r>
          </w:p>
        </w:tc>
        <w:tc>
          <w:tcPr/>
          <w:p>
            <w:pPr>
              <w:pStyle w:val="Compact"/>
            </w:pPr>
            <w:r>
              <w:rPr>
                <w:rStyle w:val="Revised"/>
                <w:b/>
                <w:bCs/>
              </w:rPr>
              <w:t xml:space="preserve">[2.17, 2.89]</w:t>
            </w:r>
          </w:p>
        </w:tc>
        <w:tc>
          <w:tcPr/>
          <w:p>
            <w:pPr>
              <w:pStyle w:val="Compact"/>
            </w:pPr>
            <w:r>
              <w:rPr>
                <w:b/>
                <w:bCs/>
              </w:rPr>
              <w:t xml:space="preserve">&lt; .001</w:t>
            </w:r>
          </w:p>
        </w:tc>
      </w:tr>
      <w:tr>
        <w:tc>
          <w:tcPr/>
          <w:p>
            <w:pPr>
              <w:pStyle w:val="Compact"/>
            </w:pPr>
          </w:p>
        </w:tc>
        <w:tc>
          <w:tcPr/>
          <w:p>
            <w:pPr>
              <w:pStyle w:val="Compact"/>
            </w:pPr>
            <w:r>
              <w:rPr>
                <w:b/>
                <w:bCs/>
              </w:rPr>
              <w:t xml:space="preserve">Volume change 14→15 (z)</w:t>
            </w:r>
          </w:p>
        </w:tc>
        <w:tc>
          <w:tcPr/>
          <w:p>
            <w:pPr>
              <w:pStyle w:val="Compact"/>
            </w:pPr>
            <w:r>
              <w:rPr>
                <w:rStyle w:val="Revised"/>
                <w:b/>
                <w:bCs/>
              </w:rPr>
              <w:t xml:space="preserve">2.29</w:t>
            </w:r>
          </w:p>
        </w:tc>
        <w:tc>
          <w:tcPr/>
          <w:p>
            <w:pPr>
              <w:pStyle w:val="Compact"/>
            </w:pPr>
            <w:r>
              <w:rPr>
                <w:rStyle w:val="Revised"/>
                <w:b/>
                <w:bCs/>
              </w:rPr>
              <w:t xml:space="preserve">[2.00, 2.62]</w:t>
            </w:r>
          </w:p>
        </w:tc>
        <w:tc>
          <w:tcPr/>
          <w:p>
            <w:pPr>
              <w:pStyle w:val="Compact"/>
            </w:pPr>
            <w:r>
              <w:rPr>
                <w:b/>
                <w:bCs/>
              </w:rPr>
              <w:t xml:space="preserve">&lt; .001</w:t>
            </w:r>
          </w:p>
        </w:tc>
      </w:tr>
    </w:tbl>
    <w:p>
      <w:pPr>
        <w:pStyle w:val="BodyText"/>
      </w:pPr>
      <w:r>
        <w:rPr>
          <w:i/>
          <w:iCs/>
        </w:rPr>
        <w:t xml:space="preserve">Note.</w:t>
      </w:r>
      <w:r>
        <w:t xml:space="preserve"> </w:t>
      </w:r>
      <w:r>
        <w:rPr>
          <w:rStyle w:val="Revised"/>
        </w:rPr>
        <w:t xml:space="preserve">Change = volume at 15 minus volume at 14 (positive = increase; mean −2.2, SD 6.4 meets). The OR of 2.29 per SD increase is equivalent</w:t>
      </w:r>
      <w:r>
        <w:t xml:space="preserve"> </w:t>
      </w:r>
      <w:r>
        <w:t xml:space="preserve">to</w:t>
      </w:r>
      <w:r>
        <w:t xml:space="preserve"> </w:t>
      </w:r>
      <w:r>
        <w:rPr>
          <w:rStyle w:val="Revised"/>
        </w:rPr>
        <w:t xml:space="preserve">OR = 0.44 [0.38, 0.50] per SD of greater decline (about 6.4 fewer meets),</w:t>
      </w:r>
      <w:r>
        <w:t xml:space="preserve"> </w:t>
      </w:r>
      <w:r>
        <w:t xml:space="preserve">conditional on</w:t>
      </w:r>
      <w:r>
        <w:t xml:space="preserve"> </w:t>
      </w:r>
      <w:r>
        <w:rPr>
          <w:rStyle w:val="Revised"/>
        </w:rPr>
        <w:t xml:space="preserve">the</w:t>
      </w:r>
      <w:r>
        <w:t xml:space="preserve"> </w:t>
      </w:r>
      <w:r>
        <w:t xml:space="preserve">level at age</w:t>
      </w:r>
      <w:r>
        <w:t xml:space="preserve"> </w:t>
      </w:r>
      <w:r>
        <w:rPr>
          <w:rStyle w:val="Revised"/>
        </w:rPr>
        <w:t xml:space="preserve">14; per 5 fewer meets, OR = 0.52. Because the model is linear in the logit, it is identical to one with volume at 14 and volume at 15 as separate levels (the per-meet OR for change equals the per-meet OR for volume at 15). Pseudo-R² (McFadden) rose from 0.150 (M1) to 0.245 (M2); CV-AUC 0.763 → 0.833. 1 of the 1,926 athletes active at 14 lacks registered sex or a Tyrving score (sample n = 1,925).</w:t>
      </w:r>
      <w:r>
        <w:t xml:space="preserve"> </w:t>
      </w:r>
      <w:r>
        <w:t xml:space="preserve">Both baseline level and within-athlete</w:t>
      </w:r>
      <w:r>
        <w:t xml:space="preserve"> </w:t>
      </w:r>
      <w:r>
        <w:rPr>
          <w:rStyle w:val="Revised"/>
        </w:rPr>
        <w:t xml:space="preserve">decline</w:t>
      </w:r>
      <w:r>
        <w:t xml:space="preserve"> </w:t>
      </w:r>
      <w:r>
        <w:t xml:space="preserve">contribute substantially and independently.</w:t>
      </w:r>
    </w:p>
    <w:p>
      <w:r>
        <w:pict>
          <v:rect style="width:0;height:1.5pt" o:hralign="center" o:hrstd="t" o:hr="t"/>
        </w:pict>
      </w:r>
    </w:p>
    <w:bookmarkEnd w:id="69"/>
    <w:bookmarkStart w:id="70" w:name="X26906ff415d5e711796d5b4eb2458551a966eca"/>
    <w:p>
      <w:pPr>
        <w:pStyle w:val="Heading2"/>
      </w:pPr>
      <w:r>
        <w:t xml:space="preserve">Table 5. Time-varying hazard ratios (post-baseline Cox specification, period-specific)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Years 0–3 since baseline (approx. ages 13–17)</w:t>
            </w:r>
          </w:p>
        </w:tc>
        <w:tc>
          <w:tcPr/>
          <w:p>
            <w:pPr>
              <w:pStyle w:val="Compact"/>
            </w:pPr>
            <w:r>
              <w:t xml:space="preserve">Years 3–6 (approx. ages 16–20)</w:t>
            </w:r>
          </w:p>
        </w:tc>
        <w:tc>
          <w:tcPr/>
          <w:p>
            <w:pPr>
              <w:pStyle w:val="Compact"/>
            </w:pPr>
            <w:r>
              <w:t xml:space="preserve">Years 6+ (approx. ages 19+)</w:t>
            </w:r>
          </w:p>
        </w:tc>
      </w:tr>
      <w:tr>
        <w:tc>
          <w:tcPr/>
          <w:p>
            <w:pPr>
              <w:pStyle w:val="Compact"/>
            </w:pPr>
            <w:r>
              <w:t xml:space="preserve">Volume at age 15–16 (per SD)</w:t>
            </w:r>
          </w:p>
        </w:tc>
        <w:tc>
          <w:tcPr/>
          <w:p>
            <w:pPr>
              <w:pStyle w:val="Compact"/>
            </w:pPr>
            <w:r>
              <w:t xml:space="preserve">0.14 [0.11, 0.16]</w:t>
            </w:r>
          </w:p>
        </w:tc>
        <w:tc>
          <w:tcPr/>
          <w:p>
            <w:pPr>
              <w:pStyle w:val="Compact"/>
            </w:pPr>
            <w:r>
              <w:rPr>
                <w:rStyle w:val="Revised"/>
              </w:rPr>
              <w:t xml:space="preserve">0.70 [0.62, 0.79]</w:t>
            </w:r>
          </w:p>
        </w:tc>
        <w:tc>
          <w:tcPr/>
          <w:p>
            <w:pPr>
              <w:pStyle w:val="Compact"/>
            </w:pPr>
            <w:r>
              <w:rPr>
                <w:rStyle w:val="Revised"/>
              </w:rPr>
              <w:t xml:space="preserve">0.93 [0.77, 1.12]</w:t>
            </w:r>
          </w:p>
        </w:tc>
      </w:tr>
      <w:tr>
        <w:tc>
          <w:tcPr/>
          <w:p>
            <w:pPr>
              <w:pStyle w:val="Compact"/>
            </w:pPr>
            <w:r>
              <w:t xml:space="preserve">Championship types (count)</w:t>
            </w:r>
          </w:p>
        </w:tc>
        <w:tc>
          <w:tcPr/>
          <w:p>
            <w:pPr>
              <w:pStyle w:val="Compact"/>
            </w:pPr>
            <w:r>
              <w:rPr>
                <w:rStyle w:val="Revised"/>
              </w:rPr>
              <w:t xml:space="preserve">0.79 [0.73, 0.86]</w:t>
            </w:r>
          </w:p>
        </w:tc>
        <w:tc>
          <w:tcPr/>
          <w:p>
            <w:pPr>
              <w:pStyle w:val="Compact"/>
            </w:pPr>
            <w:r>
              <w:rPr>
                <w:rStyle w:val="Revised"/>
              </w:rPr>
              <w:t xml:space="preserve">0.93 [0.81, 1.06]</w:t>
            </w:r>
          </w:p>
        </w:tc>
        <w:tc>
          <w:tcPr/>
          <w:p>
            <w:pPr>
              <w:pStyle w:val="Compact"/>
            </w:pPr>
            <w:r>
              <w:rPr>
                <w:rStyle w:val="Revised"/>
              </w:rPr>
              <w:t xml:space="preserve">0.78 [0.61, 0.99]</w:t>
            </w:r>
          </w:p>
        </w:tc>
      </w:tr>
      <w:tr>
        <w:tc>
          <w:tcPr/>
          <w:p>
            <w:pPr>
              <w:pStyle w:val="Compact"/>
            </w:pPr>
            <w:r>
              <w:t xml:space="preserve">Tyrving (z)</w:t>
            </w:r>
          </w:p>
        </w:tc>
        <w:tc>
          <w:tcPr/>
          <w:p>
            <w:pPr>
              <w:pStyle w:val="Compact"/>
            </w:pPr>
            <w:r>
              <w:rPr>
                <w:rStyle w:val="Revised"/>
              </w:rPr>
              <w:t xml:space="preserve">0.93 [0.89, 0.98]</w:t>
            </w:r>
          </w:p>
        </w:tc>
        <w:tc>
          <w:tcPr/>
          <w:p>
            <w:pPr>
              <w:pStyle w:val="Compact"/>
            </w:pPr>
            <w:r>
              <w:rPr>
                <w:rStyle w:val="Revised"/>
              </w:rPr>
              <w:t xml:space="preserve">0.84 [0.76, 0.94]</w:t>
            </w:r>
          </w:p>
        </w:tc>
        <w:tc>
          <w:tcPr/>
          <w:p>
            <w:pPr>
              <w:pStyle w:val="Compact"/>
            </w:pPr>
            <w:r>
              <w:rPr>
                <w:rStyle w:val="Revised"/>
              </w:rPr>
              <w:t xml:space="preserve">1.05 [0.85, 1.28]</w:t>
            </w:r>
          </w:p>
        </w:tc>
      </w:tr>
      <w:tr>
        <w:tc>
          <w:tcPr/>
          <w:p>
            <w:pPr>
              <w:pStyle w:val="Compact"/>
            </w:pPr>
            <w:r>
              <w:rPr>
                <w:rStyle w:val="Revised"/>
              </w:rPr>
              <w:t xml:space="preserve">HHI, ages 13–14 (z)</w:t>
            </w:r>
          </w:p>
        </w:tc>
        <w:tc>
          <w:tcPr/>
          <w:p>
            <w:pPr>
              <w:pStyle w:val="Compact"/>
            </w:pPr>
            <w:r>
              <w:rPr>
                <w:rStyle w:val="Revised"/>
              </w:rPr>
              <w:t xml:space="preserve">1.03 [0.98, 1.09]</w:t>
            </w:r>
          </w:p>
        </w:tc>
        <w:tc>
          <w:tcPr/>
          <w:p>
            <w:pPr>
              <w:pStyle w:val="Compact"/>
            </w:pPr>
            <w:r>
              <w:rPr>
                <w:rStyle w:val="Revised"/>
              </w:rPr>
              <w:t xml:space="preserve">0.90 [0.82, 0.99]</w:t>
            </w:r>
          </w:p>
        </w:tc>
        <w:tc>
          <w:tcPr/>
          <w:p>
            <w:pPr>
              <w:pStyle w:val="Compact"/>
            </w:pPr>
            <w:r>
              <w:rPr>
                <w:rStyle w:val="Revised"/>
              </w:rPr>
              <w:t xml:space="preserve">1.00 [0.86, 1.16]</w:t>
            </w:r>
          </w:p>
        </w:tc>
      </w:tr>
      <w:tr>
        <w:tc>
          <w:tcPr/>
          <w:p>
            <w:pPr>
              <w:pStyle w:val="Compact"/>
            </w:pPr>
            <w:r>
              <w:t xml:space="preserve">Female</w:t>
            </w:r>
          </w:p>
        </w:tc>
        <w:tc>
          <w:tcPr/>
          <w:p>
            <w:pPr>
              <w:pStyle w:val="Compact"/>
            </w:pPr>
            <w:r>
              <w:rPr>
                <w:rStyle w:val="Revised"/>
              </w:rPr>
              <w:t xml:space="preserve">1.07 [0.96, 1.19]</w:t>
            </w:r>
          </w:p>
        </w:tc>
        <w:tc>
          <w:tcPr/>
          <w:p>
            <w:pPr>
              <w:pStyle w:val="Compact"/>
            </w:pPr>
            <w:r>
              <w:rPr>
                <w:rStyle w:val="Revised"/>
              </w:rPr>
              <w:t xml:space="preserve">1.48 [1.23, 1.78]</w:t>
            </w:r>
          </w:p>
        </w:tc>
        <w:tc>
          <w:tcPr/>
          <w:p>
            <w:pPr>
              <w:pStyle w:val="Compact"/>
            </w:pPr>
            <w:r>
              <w:rPr>
                <w:rStyle w:val="Revised"/>
              </w:rPr>
              <w:t xml:space="preserve">1.03 [0.76, 1.41]</w:t>
            </w:r>
          </w:p>
        </w:tc>
      </w:tr>
      <w:tr>
        <w:tc>
          <w:tcPr/>
          <w:p>
            <w:pPr>
              <w:pStyle w:val="Compact"/>
            </w:pPr>
            <w:r>
              <w:t xml:space="preserve">n at risk in interval</w:t>
            </w:r>
          </w:p>
        </w:tc>
        <w:tc>
          <w:tcPr/>
          <w:p>
            <w:pPr>
              <w:pStyle w:val="Compact"/>
            </w:pPr>
            <w:r>
              <w:rPr>
                <w:rStyle w:val="Revised"/>
              </w:rPr>
              <w:t xml:space="preserve">2,136</w:t>
            </w:r>
          </w:p>
        </w:tc>
        <w:tc>
          <w:tcPr/>
          <w:p>
            <w:pPr>
              <w:pStyle w:val="Compact"/>
            </w:pPr>
            <w:r>
              <w:rPr>
                <w:rStyle w:val="Revised"/>
              </w:rPr>
              <w:t xml:space="preserve">823</w:t>
            </w:r>
          </w:p>
        </w:tc>
        <w:tc>
          <w:tcPr/>
          <w:p>
            <w:pPr>
              <w:pStyle w:val="Compact"/>
            </w:pPr>
            <w:r>
              <w:rPr>
                <w:rStyle w:val="Revised"/>
              </w:rPr>
              <w:t xml:space="preserve">335</w:t>
            </w:r>
          </w:p>
        </w:tc>
      </w:tr>
      <w:tr>
        <w:tc>
          <w:tcPr/>
          <w:p>
            <w:pPr>
              <w:pStyle w:val="Compact"/>
            </w:pPr>
            <w:r>
              <w:t xml:space="preserve">events in interval</w:t>
            </w:r>
          </w:p>
        </w:tc>
        <w:tc>
          <w:tcPr/>
          <w:p>
            <w:pPr>
              <w:pStyle w:val="Compact"/>
            </w:pPr>
            <w:r>
              <w:rPr>
                <w:rStyle w:val="Revised"/>
              </w:rPr>
              <w:t xml:space="preserve">1,313</w:t>
            </w:r>
          </w:p>
        </w:tc>
        <w:tc>
          <w:tcPr/>
          <w:p>
            <w:pPr>
              <w:pStyle w:val="Compact"/>
            </w:pPr>
            <w:r>
              <w:rPr>
                <w:rStyle w:val="Revised"/>
              </w:rPr>
              <w:t xml:space="preserve">488</w:t>
            </w:r>
          </w:p>
        </w:tc>
        <w:tc>
          <w:tcPr/>
          <w:p>
            <w:pPr>
              <w:pStyle w:val="Compact"/>
            </w:pPr>
            <w:r>
              <w:rPr>
                <w:rStyle w:val="Revised"/>
              </w:rPr>
              <w:t xml:space="preserve">174</w:t>
            </w:r>
          </w:p>
        </w:tc>
      </w:tr>
      <w:tr>
        <w:tc>
          <w:tcPr/>
          <w:p>
            <w:pPr>
              <w:pStyle w:val="Compact"/>
            </w:pPr>
            <w:r>
              <w:t xml:space="preserve">C-index</w:t>
            </w:r>
          </w:p>
        </w:tc>
        <w:tc>
          <w:tcPr/>
          <w:p>
            <w:pPr>
              <w:pStyle w:val="Compact"/>
            </w:pPr>
            <w:r>
              <w:rPr>
                <w:rStyle w:val="Revised"/>
              </w:rPr>
              <w:t xml:space="preserve">0.897</w:t>
            </w:r>
          </w:p>
        </w:tc>
        <w:tc>
          <w:tcPr/>
          <w:p>
            <w:pPr>
              <w:pStyle w:val="Compact"/>
            </w:pPr>
            <w:r>
              <w:rPr>
                <w:rStyle w:val="Revised"/>
              </w:rPr>
              <w:t xml:space="preserve">0.660</w:t>
            </w:r>
          </w:p>
        </w:tc>
        <w:tc>
          <w:tcPr/>
          <w:p>
            <w:pPr>
              <w:pStyle w:val="Compact"/>
            </w:pPr>
            <w:r>
              <w:rPr>
                <w:rStyle w:val="Revised"/>
              </w:rPr>
              <w:t xml:space="preserve">0.580</w:t>
            </w:r>
          </w:p>
        </w:tc>
      </w:tr>
    </w:tbl>
    <w:p>
      <w:pPr>
        <w:pStyle w:val="BodyText"/>
      </w:pPr>
      <w:r>
        <w:rPr>
          <w:i/>
          <w:iCs/>
        </w:rPr>
        <w:t xml:space="preserve">Note.</w:t>
      </w:r>
      <w:r>
        <w:t xml:space="preserve"> </w:t>
      </w:r>
      <w:r>
        <w:t xml:space="preserve">Period-specific Cox estimates from the post-baseline specification with covariates measured at ages 15–16 and ≤17. The early-window HR for ages-15–16 volume partly reflects operational overlap between predictor and outcome (low milestone volume is mechanical for athletes who drop out before age 15); this estimate should be read as descriptive of the time-varying association rather than as an independent prospective effect. Substantively, the protective association attenuates across follow-up, consistent with a proximal disengagement-marker interpretation.</w:t>
      </w:r>
      <w:r>
        <w:t xml:space="preserve"> </w:t>
      </w:r>
      <w:r>
        <w:rPr>
          <w:rStyle w:val="Revised"/>
        </w:rPr>
        <w:t xml:space="preserve">All rows are generated directly from the analysis code (C-index per interval from the same models).</w:t>
      </w:r>
    </w:p>
    <w:p>
      <w:r>
        <w:pict>
          <v:rect style="width:0;height:1.5pt" o:hralign="center" o:hrstd="t" o:hr="t"/>
        </w:pict>
      </w:r>
    </w:p>
    <w:bookmarkEnd w:id="70"/>
    <w:bookmarkStart w:id="71" w:name="Xb1aa18e3395192ff7ac564cba097915b7cb4ac8"/>
    <w:p>
      <w:pPr>
        <w:pStyle w:val="Heading2"/>
      </w:pPr>
      <w:r>
        <w:t xml:space="preserve">Table 6. Prospective early-warning thresholds (pre-milestone volume, ages 13–14)</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Threshold (flag if vol &lt;)</w:t>
            </w:r>
          </w:p>
        </w:tc>
        <w:tc>
          <w:tcPr/>
          <w:p>
            <w:pPr>
              <w:pStyle w:val="Compact"/>
            </w:pPr>
            <w:r>
              <w:t xml:space="preserve">Flagged %</w:t>
            </w:r>
          </w:p>
        </w:tc>
        <w:tc>
          <w:tcPr/>
          <w:p>
            <w:pPr>
              <w:pStyle w:val="Compact"/>
            </w:pPr>
            <w:r>
              <w:t xml:space="preserve">Sensitivity</w:t>
            </w:r>
          </w:p>
        </w:tc>
        <w:tc>
          <w:tcPr/>
          <w:p>
            <w:pPr>
              <w:pStyle w:val="Compact"/>
            </w:pPr>
            <w:r>
              <w:t xml:space="preserve">Specificity</w:t>
            </w:r>
          </w:p>
        </w:tc>
        <w:tc>
          <w:tcPr/>
          <w:p>
            <w:pPr>
              <w:pStyle w:val="Compact"/>
            </w:pPr>
            <w:r>
              <w:t xml:space="preserve">PPV</w:t>
            </w:r>
          </w:p>
        </w:tc>
        <w:tc>
          <w:tcPr/>
          <w:p>
            <w:pPr>
              <w:pStyle w:val="Compact"/>
            </w:pPr>
            <w:r>
              <w:t xml:space="preserve">NPV</w:t>
            </w:r>
          </w:p>
        </w:tc>
        <w:tc>
          <w:tcPr/>
          <w:p>
            <w:pPr>
              <w:pStyle w:val="Compact"/>
            </w:pPr>
            <w:r>
              <w:t xml:space="preserve">Senior retention, flagged</w:t>
            </w:r>
          </w:p>
        </w:tc>
        <w:tc>
          <w:tcPr/>
          <w:p>
            <w:pPr>
              <w:pStyle w:val="Compact"/>
            </w:pPr>
            <w:r>
              <w:t xml:space="preserve">Senior retention, unflagged</w:t>
            </w:r>
          </w:p>
        </w:tc>
      </w:tr>
      <w:tr>
        <w:tc>
          <w:tcPr/>
          <w:p>
            <w:pPr>
              <w:pStyle w:val="Compact"/>
            </w:pPr>
            <w:r>
              <w:t xml:space="preserve">5 meets</w:t>
            </w:r>
          </w:p>
        </w:tc>
        <w:tc>
          <w:tcPr/>
          <w:p>
            <w:pPr>
              <w:pStyle w:val="Compact"/>
            </w:pPr>
            <w:r>
              <w:rPr>
                <w:rStyle w:val="Revised"/>
              </w:rPr>
              <w:t xml:space="preserve">9.5</w:t>
            </w:r>
          </w:p>
        </w:tc>
        <w:tc>
          <w:tcPr/>
          <w:p>
            <w:pPr>
              <w:pStyle w:val="Compact"/>
            </w:pPr>
            <w:r>
              <w:rPr>
                <w:rStyle w:val="Revised"/>
              </w:rPr>
              <w:t xml:space="preserve">0.11 [0.09, 0.12]</w:t>
            </w:r>
          </w:p>
        </w:tc>
        <w:tc>
          <w:tcPr/>
          <w:p>
            <w:pPr>
              <w:pStyle w:val="Compact"/>
            </w:pPr>
            <w:r>
              <w:t xml:space="preserve">0.96 [0.94, 0.98]</w:t>
            </w:r>
          </w:p>
        </w:tc>
        <w:tc>
          <w:tcPr/>
          <w:p>
            <w:pPr>
              <w:pStyle w:val="Compact"/>
            </w:pPr>
            <w:r>
              <w:rPr>
                <w:b/>
                <w:bCs/>
              </w:rPr>
              <w:t xml:space="preserve">0.93</w:t>
            </w:r>
            <w:r>
              <w:t xml:space="preserve"> </w:t>
            </w:r>
            <w:r>
              <w:t xml:space="preserve">[0.89, 0.96]</w:t>
            </w:r>
          </w:p>
        </w:tc>
        <w:tc>
          <w:tcPr/>
          <w:p>
            <w:pPr>
              <w:pStyle w:val="Compact"/>
            </w:pPr>
            <w:r>
              <w:t xml:space="preserve">0.17 [0.16, 0.19]</w:t>
            </w:r>
          </w:p>
        </w:tc>
        <w:tc>
          <w:tcPr/>
          <w:p>
            <w:pPr>
              <w:pStyle w:val="Compact"/>
            </w:pPr>
            <w:r>
              <w:rPr>
                <w:rStyle w:val="Revised"/>
              </w:rPr>
              <w:t xml:space="preserve">6.9% [3.7, 10.7]</w:t>
            </w:r>
          </w:p>
        </w:tc>
        <w:tc>
          <w:tcPr/>
          <w:p>
            <w:pPr>
              <w:pStyle w:val="Compact"/>
            </w:pPr>
            <w:r>
              <w:rPr>
                <w:rStyle w:val="Revised"/>
              </w:rPr>
              <w:t xml:space="preserve">17.3% [15.6, 18.9]</w:t>
            </w:r>
          </w:p>
        </w:tc>
      </w:tr>
      <w:tr>
        <w:tc>
          <w:tcPr/>
          <w:p>
            <w:pPr>
              <w:pStyle w:val="Compact"/>
            </w:pPr>
            <w:r>
              <w:t xml:space="preserve">8 meets</w:t>
            </w:r>
          </w:p>
        </w:tc>
        <w:tc>
          <w:tcPr/>
          <w:p>
            <w:pPr>
              <w:pStyle w:val="Compact"/>
            </w:pPr>
            <w:r>
              <w:rPr>
                <w:rStyle w:val="Revised"/>
              </w:rPr>
              <w:t xml:space="preserve">20.4</w:t>
            </w:r>
          </w:p>
        </w:tc>
        <w:tc>
          <w:tcPr/>
          <w:p>
            <w:pPr>
              <w:pStyle w:val="Compact"/>
            </w:pPr>
            <w:r>
              <w:rPr>
                <w:rStyle w:val="Revised"/>
              </w:rPr>
              <w:t xml:space="preserve">0.23 [0.21, 0.25]</w:t>
            </w:r>
          </w:p>
        </w:tc>
        <w:tc>
          <w:tcPr/>
          <w:p>
            <w:pPr>
              <w:pStyle w:val="Compact"/>
            </w:pPr>
            <w:r>
              <w:t xml:space="preserve">0.93 [0.90, 0.96]</w:t>
            </w:r>
          </w:p>
        </w:tc>
        <w:tc>
          <w:tcPr/>
          <w:p>
            <w:pPr>
              <w:pStyle w:val="Compact"/>
            </w:pPr>
            <w:r>
              <w:rPr>
                <w:rStyle w:val="Revised"/>
                <w:b/>
                <w:bCs/>
              </w:rPr>
              <w:t xml:space="preserve">0.95</w:t>
            </w:r>
            <w:r>
              <w:rPr>
                <w:rStyle w:val="Revised"/>
              </w:rPr>
              <w:t xml:space="preserve"> </w:t>
            </w:r>
            <w:r>
              <w:rPr>
                <w:rStyle w:val="Revised"/>
              </w:rPr>
              <w:t xml:space="preserve">[0.92, 0.97]</w:t>
            </w:r>
          </w:p>
        </w:tc>
        <w:tc>
          <w:tcPr/>
          <w:p>
            <w:pPr>
              <w:pStyle w:val="Compact"/>
            </w:pPr>
            <w:r>
              <w:t xml:space="preserve">0.19 [0.17, 0.21]</w:t>
            </w:r>
          </w:p>
        </w:tc>
        <w:tc>
          <w:tcPr/>
          <w:p>
            <w:pPr>
              <w:pStyle w:val="Compact"/>
            </w:pPr>
            <w:r>
              <w:rPr>
                <w:rStyle w:val="Revised"/>
              </w:rPr>
              <w:t xml:space="preserve">5.5% [3.4, 7.8]</w:t>
            </w:r>
          </w:p>
        </w:tc>
        <w:tc>
          <w:tcPr/>
          <w:p>
            <w:pPr>
              <w:pStyle w:val="Compact"/>
            </w:pPr>
            <w:r>
              <w:rPr>
                <w:rStyle w:val="Revised"/>
              </w:rPr>
              <w:t xml:space="preserve">19.0% [17.2, 20.9]</w:t>
            </w:r>
          </w:p>
        </w:tc>
      </w:tr>
      <w:tr>
        <w:tc>
          <w:tcPr/>
          <w:p>
            <w:pPr>
              <w:pStyle w:val="Compact"/>
            </w:pPr>
            <w:r>
              <w:t xml:space="preserve">10 meets</w:t>
            </w:r>
          </w:p>
        </w:tc>
        <w:tc>
          <w:tcPr/>
          <w:p>
            <w:pPr>
              <w:pStyle w:val="Compact"/>
            </w:pPr>
            <w:r>
              <w:rPr>
                <w:rStyle w:val="Revised"/>
              </w:rPr>
              <w:t xml:space="preserve">27.3</w:t>
            </w:r>
          </w:p>
        </w:tc>
        <w:tc>
          <w:tcPr/>
          <w:p>
            <w:pPr>
              <w:pStyle w:val="Compact"/>
            </w:pPr>
            <w:r>
              <w:rPr>
                <w:rStyle w:val="Revised"/>
              </w:rPr>
              <w:t xml:space="preserve">0.31 [0.29, 0.33]</w:t>
            </w:r>
          </w:p>
        </w:tc>
        <w:tc>
          <w:tcPr/>
          <w:p>
            <w:pPr>
              <w:pStyle w:val="Compact"/>
            </w:pPr>
            <w:r>
              <w:t xml:space="preserve">0.91 [0.88, 0.94]</w:t>
            </w:r>
          </w:p>
        </w:tc>
        <w:tc>
          <w:tcPr/>
          <w:p>
            <w:pPr>
              <w:pStyle w:val="Compact"/>
            </w:pPr>
            <w:r>
              <w:rPr>
                <w:rStyle w:val="Revised"/>
                <w:b/>
                <w:bCs/>
              </w:rPr>
              <w:t xml:space="preserve">0.95</w:t>
            </w:r>
            <w:r>
              <w:rPr>
                <w:rStyle w:val="Revised"/>
              </w:rPr>
              <w:t xml:space="preserve"> </w:t>
            </w:r>
            <w:r>
              <w:rPr>
                <w:rStyle w:val="Revised"/>
              </w:rPr>
              <w:t xml:space="preserve">[0.93, 0.96]</w:t>
            </w:r>
          </w:p>
        </w:tc>
        <w:tc>
          <w:tcPr/>
          <w:p>
            <w:pPr>
              <w:pStyle w:val="Compact"/>
            </w:pPr>
            <w:r>
              <w:t xml:space="preserve">0.20 [0.18, 0.22]</w:t>
            </w:r>
          </w:p>
        </w:tc>
        <w:tc>
          <w:tcPr/>
          <w:p>
            <w:pPr>
              <w:pStyle w:val="Compact"/>
            </w:pPr>
            <w:r>
              <w:rPr>
                <w:rStyle w:val="Revised"/>
              </w:rPr>
              <w:t xml:space="preserve">5.5% [3.7, 7.4]</w:t>
            </w:r>
          </w:p>
        </w:tc>
        <w:tc>
          <w:tcPr/>
          <w:p>
            <w:pPr>
              <w:pStyle w:val="Compact"/>
            </w:pPr>
            <w:r>
              <w:rPr>
                <w:rStyle w:val="Revised"/>
              </w:rPr>
              <w:t xml:space="preserve">20.3% [18.3, 22.4]</w:t>
            </w:r>
          </w:p>
        </w:tc>
      </w:tr>
      <w:tr>
        <w:tc>
          <w:tcPr/>
          <w:p>
            <w:pPr>
              <w:pStyle w:val="Compact"/>
            </w:pPr>
            <w:r>
              <w:t xml:space="preserve">15 meets</w:t>
            </w:r>
          </w:p>
        </w:tc>
        <w:tc>
          <w:tcPr/>
          <w:p>
            <w:pPr>
              <w:pStyle w:val="Compact"/>
            </w:pPr>
            <w:r>
              <w:rPr>
                <w:rStyle w:val="Revised"/>
              </w:rPr>
              <w:t xml:space="preserve">44.4</w:t>
            </w:r>
          </w:p>
        </w:tc>
        <w:tc>
          <w:tcPr/>
          <w:p>
            <w:pPr>
              <w:pStyle w:val="Compact"/>
            </w:pPr>
            <w:r>
              <w:rPr>
                <w:rStyle w:val="Revised"/>
              </w:rPr>
              <w:t xml:space="preserve">0.49 [0.47, 0.52]</w:t>
            </w:r>
          </w:p>
        </w:tc>
        <w:tc>
          <w:tcPr/>
          <w:p>
            <w:pPr>
              <w:pStyle w:val="Compact"/>
            </w:pPr>
            <w:r>
              <w:rPr>
                <w:rStyle w:val="Revised"/>
              </w:rPr>
              <w:t xml:space="preserve">0.80 [0.76, 0.85]</w:t>
            </w:r>
          </w:p>
        </w:tc>
        <w:tc>
          <w:tcPr/>
          <w:p>
            <w:pPr>
              <w:pStyle w:val="Compact"/>
            </w:pPr>
            <w:r>
              <w:rPr>
                <w:rStyle w:val="Revised"/>
                <w:b/>
                <w:bCs/>
              </w:rPr>
              <w:t xml:space="preserve">0.93</w:t>
            </w:r>
            <w:r>
              <w:rPr>
                <w:rStyle w:val="Revised"/>
              </w:rPr>
              <w:t xml:space="preserve"> </w:t>
            </w:r>
            <w:r>
              <w:rPr>
                <w:rStyle w:val="Revised"/>
              </w:rPr>
              <w:t xml:space="preserve">[0.91, 0.94]</w:t>
            </w:r>
          </w:p>
        </w:tc>
        <w:tc>
          <w:tcPr/>
          <w:p>
            <w:pPr>
              <w:pStyle w:val="Compact"/>
            </w:pPr>
            <w:r>
              <w:t xml:space="preserve">0.24 [0.21, 0.26]</w:t>
            </w:r>
          </w:p>
        </w:tc>
        <w:tc>
          <w:tcPr/>
          <w:p>
            <w:pPr>
              <w:pStyle w:val="Compact"/>
            </w:pPr>
            <w:r>
              <w:rPr>
                <w:rStyle w:val="Revised"/>
              </w:rPr>
              <w:t xml:space="preserve">7.2% [5.5, 8.9]</w:t>
            </w:r>
          </w:p>
        </w:tc>
        <w:tc>
          <w:tcPr/>
          <w:p>
            <w:pPr>
              <w:pStyle w:val="Compact"/>
            </w:pPr>
            <w:r>
              <w:t xml:space="preserve">23.5% [21.1, 25.9]</w:t>
            </w:r>
          </w:p>
        </w:tc>
      </w:tr>
    </w:tbl>
    <w:p>
      <w:pPr>
        <w:pStyle w:val="BodyText"/>
      </w:pPr>
      <w:r>
        <w:rPr>
          <w:i/>
          <w:iCs/>
        </w:rPr>
        <w:t xml:space="preserve">Note.</w:t>
      </w:r>
      <w:r>
        <w:t xml:space="preserve"> </w:t>
      </w:r>
      <w:r>
        <w:t xml:space="preserve">Classification performance of pre-milestone (ages 13–14) competition volume as a prospective early-warning indicator, applicable at the end of an athlete’s age-14 season, before the qualification window opens. All metrics are computed on one denominator (full cohort, n =</w:t>
      </w:r>
      <w:r>
        <w:t xml:space="preserve"> </w:t>
      </w:r>
      <w:r>
        <w:rPr>
          <w:rStyle w:val="Revised"/>
        </w:rPr>
        <w:t xml:space="preserve">2,138);</w:t>
      </w:r>
      <w:r>
        <w:t xml:space="preserve"> </w:t>
      </w:r>
      <w:r>
        <w:t xml:space="preserve">brackets are 2,000-replicate bootstrap 95% CIs. PPV is the proportion of flagged athletes who subsequently failed to retain senior activity. The final two columns give the absolute retention contrast: at the &lt; 10 threshold,</w:t>
      </w:r>
      <w:r>
        <w:t xml:space="preserve"> </w:t>
      </w:r>
      <w:r>
        <w:rPr>
          <w:rStyle w:val="Revised"/>
        </w:rPr>
        <w:t xml:space="preserve">5.5%</w:t>
      </w:r>
      <w:r>
        <w:t xml:space="preserve"> </w:t>
      </w:r>
      <w:r>
        <w:t xml:space="preserve">among flagged vs. </w:t>
      </w:r>
      <w:r>
        <w:rPr>
          <w:rStyle w:val="Revised"/>
        </w:rPr>
        <w:t xml:space="preserve">20.3%</w:t>
      </w:r>
      <w:r>
        <w:t xml:space="preserve"> </w:t>
      </w:r>
      <w:r>
        <w:t xml:space="preserve">among unflagged athletes (a</w:t>
      </w:r>
      <w:r>
        <w:t xml:space="preserve"> </w:t>
      </w:r>
      <w:r>
        <w:rPr>
          <w:rStyle w:val="Revised"/>
        </w:rPr>
        <w:t xml:space="preserve">3.7-fold</w:t>
      </w:r>
      <w:r>
        <w:t xml:space="preserve"> </w:t>
      </w:r>
      <w:r>
        <w:t xml:space="preserve">difference). The high PPV partly reflects the population’s 84% non-retention base rate (the threshold improves precision by</w:t>
      </w:r>
      <w:r>
        <w:t xml:space="preserve"> </w:t>
      </w:r>
      <w:r>
        <w:rPr>
          <w:rStyle w:val="Revised"/>
        </w:rPr>
        <w:t xml:space="preserve">~11</w:t>
      </w:r>
      <w:r>
        <w:t xml:space="preserve"> </w:t>
      </w:r>
      <w:r>
        <w:t xml:space="preserve">percentage points over base-rate prediction), and the NPV of ≈ 0.20 means unflagged athletes are not</w:t>
      </w:r>
      <w:r>
        <w:t xml:space="preserve"> </w:t>
      </w:r>
      <w:r>
        <w:t xml:space="preserve">“safe”</w:t>
      </w:r>
      <w:r>
        <w:t xml:space="preserve">: roughly four in five of them also fail to retain.</w:t>
      </w:r>
      <w:r>
        <w:t xml:space="preserve"> </w:t>
      </w:r>
      <w:r>
        <w:rPr>
          <w:rStyle w:val="Revised"/>
        </w:rPr>
        <w:t xml:space="preserve">The thresholds are candidate cut-offs chosen in the pooled data; derivation in one birth cohort and validation in the other are reported in Supplementary Table S29.</w:t>
      </w:r>
      <w:r>
        <w:t xml:space="preserve"> </w:t>
      </w:r>
      <w:r>
        <w:t xml:space="preserve">Calibration of the underlying model is reported in Supplementary Table S23.</w:t>
      </w:r>
    </w:p>
    <w:p>
      <w:r>
        <w:pict>
          <v:rect style="width:0;height:1.5pt" o:hralign="center" o:hrstd="t" o:hr="t"/>
        </w:pict>
      </w:r>
    </w:p>
    <w:bookmarkEnd w:id="71"/>
    <w:bookmarkStart w:id="72" w:name="Xa7bb190a89dd86a06a4598a64e67699b54c577b"/>
    <w:p>
      <w:pPr>
        <w:pStyle w:val="Heading2"/>
      </w:pPr>
      <w:r>
        <w:t xml:space="preserve">Table 7.</w:t>
      </w:r>
      <w:r>
        <w:t xml:space="preserve"> </w:t>
      </w:r>
      <w:r>
        <w:rPr>
          <w:rStyle w:val="Revised"/>
        </w:rPr>
        <w:t xml:space="preserve">Internal cohort</w:t>
      </w:r>
      <w:r>
        <w:t xml:space="preserve"> </w:t>
      </w:r>
      <w:r>
        <w:t xml:space="preserve">replication of the primary L4 logistic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pPr>
            <w:r>
              <w:t xml:space="preserve">n</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r>
      <w:tr>
        <w:tc>
          <w:tcPr/>
          <w:p>
            <w:pPr>
              <w:pStyle w:val="Compact"/>
            </w:pPr>
            <w:r>
              <w:t xml:space="preserve">1998–2000</w:t>
            </w:r>
          </w:p>
        </w:tc>
        <w:tc>
          <w:tcPr/>
          <w:p>
            <w:pPr>
              <w:pStyle w:val="Compact"/>
            </w:pPr>
            <w:r>
              <w:rPr>
                <w:rStyle w:val="Revised"/>
              </w:rPr>
              <w:t xml:space="preserve">1,308</w:t>
            </w:r>
          </w:p>
        </w:tc>
        <w:tc>
          <w:tcPr/>
          <w:p>
            <w:pPr>
              <w:pStyle w:val="Compact"/>
            </w:pPr>
            <w:r>
              <w:t xml:space="preserve">Female</w:t>
            </w:r>
          </w:p>
        </w:tc>
        <w:tc>
          <w:tcPr/>
          <w:p>
            <w:pPr>
              <w:pStyle w:val="Compact"/>
            </w:pPr>
            <w:r>
              <w:rPr>
                <w:rStyle w:val="Revised"/>
              </w:rPr>
              <w:t xml:space="preserve">0.57</w:t>
            </w:r>
          </w:p>
        </w:tc>
        <w:tc>
          <w:tcPr/>
          <w:p>
            <w:pPr>
              <w:pStyle w:val="Compact"/>
            </w:pPr>
            <w:r>
              <w:rPr>
                <w:rStyle w:val="Revised"/>
              </w:rPr>
              <w:t xml:space="preserve">[0.41, 0.79]</w:t>
            </w:r>
          </w:p>
        </w:tc>
        <w:tc>
          <w:tcPr/>
          <w:p>
            <w:pPr>
              <w:pStyle w:val="Compact"/>
            </w:pPr>
            <w:r>
              <w:t xml:space="preserve">&lt; .001</w:t>
            </w:r>
          </w:p>
        </w:tc>
      </w:tr>
      <w:tr>
        <w:tc>
          <w:tcPr/>
          <w:p>
            <w:pPr>
              <w:pStyle w:val="Compact"/>
            </w:pPr>
          </w:p>
        </w:tc>
        <w:tc>
          <w:tcPr/>
          <w:p>
            <w:pPr>
              <w:pStyle w:val="Compact"/>
            </w:pPr>
          </w:p>
        </w:tc>
        <w:tc>
          <w:tcPr/>
          <w:p>
            <w:pPr>
              <w:pStyle w:val="Compact"/>
            </w:pPr>
            <w:r>
              <w:t xml:space="preserve">Tyrving (z)</w:t>
            </w:r>
          </w:p>
        </w:tc>
        <w:tc>
          <w:tcPr/>
          <w:p>
            <w:pPr>
              <w:pStyle w:val="Compact"/>
            </w:pPr>
            <w:r>
              <w:rPr>
                <w:rStyle w:val="Revised"/>
              </w:rPr>
              <w:t xml:space="preserve">1.80</w:t>
            </w:r>
          </w:p>
        </w:tc>
        <w:tc>
          <w:tcPr/>
          <w:p>
            <w:pPr>
              <w:pStyle w:val="Compact"/>
            </w:pPr>
            <w:r>
              <w:rPr>
                <w:rStyle w:val="Revised"/>
              </w:rPr>
              <w:t xml:space="preserve">[1.44, 2.25]</w:t>
            </w:r>
          </w:p>
        </w:tc>
        <w:tc>
          <w:tcPr/>
          <w:p>
            <w:pPr>
              <w:pStyle w:val="Compact"/>
            </w:pPr>
            <w:r>
              <w:rPr>
                <w:rStyle w:val="Revised"/>
              </w:rPr>
              <w:t xml:space="preserve">&lt; .001</w:t>
            </w:r>
          </w:p>
        </w:tc>
      </w:tr>
      <w:tr>
        <w:tc>
          <w:tcPr/>
          <w:p>
            <w:pPr>
              <w:pStyle w:val="Compact"/>
            </w:pPr>
          </w:p>
        </w:tc>
        <w:tc>
          <w:tcPr/>
          <w:p>
            <w:pPr>
              <w:pStyle w:val="Compact"/>
            </w:pPr>
          </w:p>
        </w:tc>
        <w:tc>
          <w:tcPr/>
          <w:p>
            <w:pPr>
              <w:pStyle w:val="Compact"/>
            </w:pPr>
            <w:r>
              <w:rPr>
                <w:rStyle w:val="Revised"/>
              </w:rPr>
              <w:t xml:space="preserve">HHI, ages 13–14 (z)</w:t>
            </w:r>
          </w:p>
        </w:tc>
        <w:tc>
          <w:tcPr/>
          <w:p>
            <w:pPr>
              <w:pStyle w:val="Compact"/>
            </w:pPr>
            <w:r>
              <w:rPr>
                <w:rStyle w:val="Revised"/>
              </w:rPr>
              <w:t xml:space="preserve">1.07</w:t>
            </w:r>
          </w:p>
        </w:tc>
        <w:tc>
          <w:tcPr/>
          <w:p>
            <w:pPr>
              <w:pStyle w:val="Compact"/>
            </w:pPr>
            <w:r>
              <w:rPr>
                <w:rStyle w:val="Revised"/>
              </w:rPr>
              <w:t xml:space="preserve">[0.90, 1.28]</w:t>
            </w:r>
          </w:p>
        </w:tc>
        <w:tc>
          <w:tcPr/>
          <w:p>
            <w:pPr>
              <w:pStyle w:val="Compact"/>
            </w:pPr>
            <w:r>
              <w:rPr>
                <w:rStyle w:val="Revised"/>
              </w:rPr>
              <w:t xml:space="preserve">.414</w:t>
            </w:r>
          </w:p>
        </w:tc>
      </w:tr>
      <w:tr>
        <w:tc>
          <w:tcPr/>
          <w:p>
            <w:pPr>
              <w:pStyle w:val="Compact"/>
            </w:pPr>
          </w:p>
        </w:tc>
        <w:tc>
          <w:tcPr/>
          <w:p>
            <w:pPr>
              <w:pStyle w:val="Compact"/>
            </w:pPr>
          </w:p>
        </w:tc>
        <w:tc>
          <w:tcPr/>
          <w:p>
            <w:pPr>
              <w:pStyle w:val="Compact"/>
            </w:pPr>
            <w:r>
              <w:rPr>
                <w:b/>
                <w:bCs/>
              </w:rPr>
              <w:t xml:space="preserve">Pre-milestone volume (z)</w:t>
            </w:r>
          </w:p>
        </w:tc>
        <w:tc>
          <w:tcPr/>
          <w:p>
            <w:pPr>
              <w:pStyle w:val="Compact"/>
            </w:pPr>
            <w:r>
              <w:rPr>
                <w:rStyle w:val="Revised"/>
                <w:b/>
                <w:bCs/>
              </w:rPr>
              <w:t xml:space="preserve">2.03</w:t>
            </w:r>
          </w:p>
        </w:tc>
        <w:tc>
          <w:tcPr/>
          <w:p>
            <w:pPr>
              <w:pStyle w:val="Compact"/>
            </w:pPr>
            <w:r>
              <w:rPr>
                <w:rStyle w:val="Revised"/>
                <w:b/>
                <w:bCs/>
              </w:rPr>
              <w:t xml:space="preserve">[1.72, 2.38]</w:t>
            </w:r>
          </w:p>
        </w:tc>
        <w:tc>
          <w:tcPr/>
          <w:p>
            <w:pPr>
              <w:pStyle w:val="Compact"/>
            </w:pPr>
            <w:r>
              <w:rPr>
                <w:b/>
                <w:bCs/>
              </w:rPr>
              <w:t xml:space="preserve">&lt; .001</w:t>
            </w:r>
          </w:p>
        </w:tc>
      </w:tr>
      <w:tr>
        <w:tc>
          <w:tcPr/>
          <w:p>
            <w:pPr>
              <w:pStyle w:val="Compact"/>
            </w:pPr>
            <w:r>
              <w:t xml:space="preserve">2001–2002</w:t>
            </w:r>
          </w:p>
        </w:tc>
        <w:tc>
          <w:tcPr/>
          <w:p>
            <w:pPr>
              <w:pStyle w:val="Compact"/>
            </w:pPr>
            <w:r>
              <w:rPr>
                <w:rStyle w:val="Revised"/>
              </w:rPr>
              <w:t xml:space="preserve">828</w:t>
            </w:r>
          </w:p>
        </w:tc>
        <w:tc>
          <w:tcPr/>
          <w:p>
            <w:pPr>
              <w:pStyle w:val="Compact"/>
            </w:pPr>
            <w:r>
              <w:t xml:space="preserve">Female</w:t>
            </w:r>
          </w:p>
        </w:tc>
        <w:tc>
          <w:tcPr/>
          <w:p>
            <w:pPr>
              <w:pStyle w:val="Compact"/>
            </w:pPr>
            <w:r>
              <w:rPr>
                <w:rStyle w:val="Revised"/>
              </w:rPr>
              <w:t xml:space="preserve">0.55</w:t>
            </w:r>
          </w:p>
        </w:tc>
        <w:tc>
          <w:tcPr/>
          <w:p>
            <w:pPr>
              <w:pStyle w:val="Compact"/>
            </w:pPr>
            <w:r>
              <w:rPr>
                <w:rStyle w:val="Revised"/>
              </w:rPr>
              <w:t xml:space="preserve">[0.37, 0.83]</w:t>
            </w:r>
          </w:p>
        </w:tc>
        <w:tc>
          <w:tcPr/>
          <w:p>
            <w:pPr>
              <w:pStyle w:val="Compact"/>
            </w:pPr>
            <w:r>
              <w:rPr>
                <w:rStyle w:val="Revised"/>
              </w:rPr>
              <w:t xml:space="preserve">.005</w:t>
            </w:r>
          </w:p>
        </w:tc>
      </w:tr>
      <w:tr>
        <w:tc>
          <w:tcPr/>
          <w:p>
            <w:pPr>
              <w:pStyle w:val="Compact"/>
            </w:pPr>
          </w:p>
        </w:tc>
        <w:tc>
          <w:tcPr/>
          <w:p>
            <w:pPr>
              <w:pStyle w:val="Compact"/>
            </w:pPr>
          </w:p>
        </w:tc>
        <w:tc>
          <w:tcPr/>
          <w:p>
            <w:pPr>
              <w:pStyle w:val="Compact"/>
            </w:pPr>
            <w:r>
              <w:t xml:space="preserve">Tyrving (z)</w:t>
            </w:r>
          </w:p>
        </w:tc>
        <w:tc>
          <w:tcPr/>
          <w:p>
            <w:pPr>
              <w:pStyle w:val="Compact"/>
            </w:pPr>
            <w:r>
              <w:rPr>
                <w:rStyle w:val="Revised"/>
              </w:rPr>
              <w:t xml:space="preserve">1.69</w:t>
            </w:r>
          </w:p>
        </w:tc>
        <w:tc>
          <w:tcPr/>
          <w:p>
            <w:pPr>
              <w:pStyle w:val="Compact"/>
            </w:pPr>
            <w:r>
              <w:rPr>
                <w:rStyle w:val="Revised"/>
              </w:rPr>
              <w:t xml:space="preserve">[1.28, 2.24]</w:t>
            </w:r>
          </w:p>
        </w:tc>
        <w:tc>
          <w:tcPr/>
          <w:p>
            <w:pPr>
              <w:pStyle w:val="Compact"/>
            </w:pPr>
            <w:r>
              <w:rPr>
                <w:rStyle w:val="Revised"/>
              </w:rPr>
              <w:t xml:space="preserve">&lt; .001</w:t>
            </w:r>
          </w:p>
        </w:tc>
      </w:tr>
      <w:tr>
        <w:tc>
          <w:tcPr/>
          <w:p>
            <w:pPr>
              <w:pStyle w:val="Compact"/>
            </w:pPr>
          </w:p>
        </w:tc>
        <w:tc>
          <w:tcPr/>
          <w:p>
            <w:pPr>
              <w:pStyle w:val="Compact"/>
            </w:pPr>
          </w:p>
        </w:tc>
        <w:tc>
          <w:tcPr/>
          <w:p>
            <w:pPr>
              <w:pStyle w:val="Compact"/>
            </w:pPr>
            <w:r>
              <w:rPr>
                <w:rStyle w:val="Revised"/>
              </w:rPr>
              <w:t xml:space="preserve">HHI, ages 13–14 (z)</w:t>
            </w:r>
          </w:p>
        </w:tc>
        <w:tc>
          <w:tcPr/>
          <w:p>
            <w:pPr>
              <w:pStyle w:val="Compact"/>
            </w:pPr>
            <w:r>
              <w:rPr>
                <w:rStyle w:val="Revised"/>
              </w:rPr>
              <w:t xml:space="preserve">1.32</w:t>
            </w:r>
          </w:p>
        </w:tc>
        <w:tc>
          <w:tcPr/>
          <w:p>
            <w:pPr>
              <w:pStyle w:val="Compact"/>
            </w:pPr>
            <w:r>
              <w:rPr>
                <w:rStyle w:val="Revised"/>
              </w:rPr>
              <w:t xml:space="preserve">[1.10, 1.60]</w:t>
            </w:r>
          </w:p>
        </w:tc>
        <w:tc>
          <w:tcPr/>
          <w:p>
            <w:pPr>
              <w:pStyle w:val="Compact"/>
            </w:pPr>
            <w:r>
              <w:rPr>
                <w:rStyle w:val="Revised"/>
              </w:rPr>
              <w:t xml:space="preserve">.004</w:t>
            </w:r>
          </w:p>
        </w:tc>
      </w:tr>
      <w:tr>
        <w:tc>
          <w:tcPr/>
          <w:p>
            <w:pPr>
              <w:pStyle w:val="Compact"/>
            </w:pPr>
          </w:p>
        </w:tc>
        <w:tc>
          <w:tcPr/>
          <w:p>
            <w:pPr>
              <w:pStyle w:val="Compact"/>
            </w:pPr>
          </w:p>
        </w:tc>
        <w:tc>
          <w:tcPr/>
          <w:p>
            <w:pPr>
              <w:pStyle w:val="Compact"/>
            </w:pPr>
            <w:r>
              <w:rPr>
                <w:b/>
                <w:bCs/>
              </w:rPr>
              <w:t xml:space="preserve">Pre-milestone volume (z)</w:t>
            </w:r>
          </w:p>
        </w:tc>
        <w:tc>
          <w:tcPr/>
          <w:p>
            <w:pPr>
              <w:pStyle w:val="Compact"/>
            </w:pPr>
            <w:r>
              <w:rPr>
                <w:rStyle w:val="Revised"/>
                <w:b/>
                <w:bCs/>
              </w:rPr>
              <w:t xml:space="preserve">2.10</w:t>
            </w:r>
          </w:p>
        </w:tc>
        <w:tc>
          <w:tcPr/>
          <w:p>
            <w:pPr>
              <w:pStyle w:val="Compact"/>
            </w:pPr>
            <w:r>
              <w:rPr>
                <w:rStyle w:val="Revised"/>
                <w:b/>
                <w:bCs/>
              </w:rPr>
              <w:t xml:space="preserve">[1.71, 2.58]</w:t>
            </w:r>
          </w:p>
        </w:tc>
        <w:tc>
          <w:tcPr/>
          <w:p>
            <w:pPr>
              <w:pStyle w:val="Compact"/>
            </w:pPr>
            <w:r>
              <w:rPr>
                <w:b/>
                <w:bCs/>
              </w:rPr>
              <w:t xml:space="preserve">&lt; .001</w:t>
            </w:r>
          </w:p>
        </w:tc>
      </w:tr>
    </w:tbl>
    <w:p>
      <w:pPr>
        <w:pStyle w:val="BodyText"/>
      </w:pPr>
      <w:r>
        <w:rPr>
          <w:i/>
          <w:iCs/>
        </w:rPr>
        <w:t xml:space="preserve">Note.</w:t>
      </w:r>
      <w:r>
        <w:t xml:space="preserve"> </w:t>
      </w:r>
      <w:r>
        <w:t xml:space="preserve">The primary baseline-only logistic model re-estimated separately within each birth-year cohort.</w:t>
      </w:r>
      <w:r>
        <w:t xml:space="preserve"> </w:t>
      </w:r>
      <w:r>
        <w:rPr>
          <w:rStyle w:val="Revised"/>
        </w:rPr>
        <w:t xml:space="preserve">Both cohorts come from the same register and national system, so this is an internal replication. The pre-milestone</w:t>
      </w:r>
      <w:r>
        <w:t xml:space="preserve"> </w:t>
      </w:r>
      <w:r>
        <w:t xml:space="preserve">volume effect</w:t>
      </w:r>
      <w:r>
        <w:t xml:space="preserve"> </w:t>
      </w:r>
      <w:r>
        <w:rPr>
          <w:rStyle w:val="Revised"/>
        </w:rPr>
        <w:t xml:space="preserve">and the performance association are reproduced at similar magnitude</w:t>
      </w:r>
      <w:r>
        <w:t xml:space="preserve"> </w:t>
      </w:r>
      <w:r>
        <w:t xml:space="preserve">in both</w:t>
      </w:r>
      <w:r>
        <w:t xml:space="preserve"> </w:t>
      </w:r>
      <w:r>
        <w:rPr>
          <w:rStyle w:val="Revised"/>
        </w:rPr>
        <w:t xml:space="preserve">cohorts; female sex predicts lower retention in both.</w:t>
      </w:r>
      <w:r>
        <w:t xml:space="preserve"> </w:t>
      </w:r>
      <w:r>
        <w:t xml:space="preserve">The</w:t>
      </w:r>
      <w:r>
        <w:t xml:space="preserve"> </w:t>
      </w:r>
      <w:r>
        <w:rPr>
          <w:rStyle w:val="Revised"/>
        </w:rPr>
        <w:t xml:space="preserve">HHI association is clear</w:t>
      </w:r>
      <w:r>
        <w:t xml:space="preserve"> </w:t>
      </w:r>
      <w:r>
        <w:t xml:space="preserve">in the</w:t>
      </w:r>
      <w:r>
        <w:t xml:space="preserve"> </w:t>
      </w:r>
      <w:r>
        <w:rPr>
          <w:rStyle w:val="Revised"/>
        </w:rPr>
        <w:t xml:space="preserve">2001–2002 cohort but not</w:t>
      </w:r>
      <w:r>
        <w:t xml:space="preserve"> </w:t>
      </w:r>
      <w:r>
        <w:t xml:space="preserve">significant in the</w:t>
      </w:r>
      <w:r>
        <w:t xml:space="preserve"> </w:t>
      </w:r>
      <w:r>
        <w:rPr>
          <w:rStyle w:val="Revised"/>
        </w:rPr>
        <w:t xml:space="preserve">1998–2000 cohort (see Section 3.9).</w:t>
      </w:r>
    </w:p>
    <w:p>
      <w:r>
        <w:pict>
          <v:rect style="width:0;height:1.5pt" o:hralign="center" o:hrstd="t" o:hr="t"/>
        </w:pict>
      </w:r>
    </w:p>
    <w:bookmarkEnd w:id="72"/>
    <w:bookmarkStart w:id="73" w:name="figure-captions"/>
    <w:p>
      <w:pPr>
        <w:pStyle w:val="Heading2"/>
      </w:pPr>
      <w:r>
        <w:t xml:space="preserve">Figure captions</w:t>
      </w:r>
    </w:p>
    <w:p>
      <w:pPr>
        <w:pStyle w:val="FirstParagraph"/>
      </w:pPr>
      <w:r>
        <w:rPr>
          <w:b/>
          <w:bCs/>
        </w:rPr>
        <w:t xml:space="preserve">Figure 1.</w:t>
      </w:r>
      <w:r>
        <w:t xml:space="preserve"> </w:t>
      </w:r>
      <w:r>
        <w:t xml:space="preserve">A behavioral-marker model of youth-sport disengagement. The diagram shows the relationship being tested: theoretical mechanisms hypothesized by the Sport Commitment Model</w:t>
      </w:r>
      <w:r>
        <w:rPr>
          <w:rStyle w:val="Revised"/>
        </w:rPr>
        <w:t xml:space="preserve">, meaning-in-movement accounts,</w:t>
      </w:r>
      <w:r>
        <w:t xml:space="preserve"> </w:t>
      </w:r>
      <w:r>
        <w:t xml:space="preserve">and the role-exit / withdrawal-as-process tradition (left) are not directly observed, but are predicted to leave a footprint in measurable competition behavior (centre), which precedes the outcome of active senior retention (right).</w:t>
      </w:r>
      <w:r>
        <w:t xml:space="preserve"> </w:t>
      </w:r>
      <w:r>
        <w:rPr>
          <w:rStyle w:val="Revised"/>
        </w:rPr>
        <w:t xml:space="preserve">Declining competition volume is a behavioral marker of disengagement, not a measure of it.</w:t>
      </w:r>
    </w:p>
    <w:p>
      <w:pPr>
        <w:pStyle w:val="BodyText"/>
      </w:pPr>
      <w:r>
        <w:rPr>
          <w:b/>
          <w:bCs/>
        </w:rPr>
        <w:t xml:space="preserve">Figure 2.</w:t>
      </w:r>
      <w:r>
        <w:t xml:space="preserve"> </w:t>
      </w:r>
      <w:r>
        <w:t xml:space="preserve">Competition volume trajectory by senior-retention status. Median competitions</w:t>
      </w:r>
      <w:r>
        <w:t xml:space="preserve"> </w:t>
      </w:r>
      <w:r>
        <w:rPr>
          <w:rStyle w:val="Revised"/>
        </w:rPr>
        <w:t xml:space="preserve">(competition days)</w:t>
      </w:r>
      <w:r>
        <w:t xml:space="preserve"> </w:t>
      </w:r>
      <w:r>
        <w:t xml:space="preserve">per year (with interquartile range as shaded band) plotted by athlete age (13–18), separately for athletes who retained active senior status (≥2 results in any year at age ≥20; n = 348) and those who did not (n =</w:t>
      </w:r>
      <w:r>
        <w:t xml:space="preserve"> </w:t>
      </w:r>
      <w:r>
        <w:rPr>
          <w:rStyle w:val="Revised"/>
        </w:rPr>
        <w:t xml:space="preserve">1,790</w:t>
      </w:r>
      <w:r>
        <w:t xml:space="preserve">). The dashed vertical line at age 15 marks the first qualification milestone (Norwegian Youth Championships). Future retainers and future dropouts already differ at ages 13–14; the gap widens further across the age-14-to-15 transition.</w:t>
      </w:r>
    </w:p>
    <w:p>
      <w:pPr>
        <w:pStyle w:val="BodyText"/>
      </w:pPr>
      <w:r>
        <w:rPr>
          <w:b/>
          <w:bCs/>
        </w:rPr>
        <w:t xml:space="preserve">Figure 3.</w:t>
      </w:r>
      <w:r>
        <w:t xml:space="preserve"> </w:t>
      </w:r>
      <w:r>
        <w:t xml:space="preserve">Kaplan–Meier retention curves stratified by total competition volume across ages 15 and 16 (descriptive). Strata are: 0 meets, 1–5 meets, 6–15 meets, 16–30 meets, and 31+ meets.</w:t>
      </w:r>
      <w:r>
        <w:t xml:space="preserve"> </w:t>
      </w:r>
      <w:r>
        <w:rPr>
          <w:rStyle w:val="Revised"/>
        </w:rPr>
        <w:t xml:space="preserve">In the highest stratum 22% were still active 14 years after baseline and 50% reached active senior status; in the lowest stratum, 0.3% and 0.8%.</w:t>
      </w:r>
      <w:r>
        <w:t xml:space="preserve"> </w:t>
      </w:r>
      <w:r>
        <w:t xml:space="preserve">(Note: this descriptive stratification uses post-baseline measurement; primary effect estimates in Table 3 use only baseline-window predictors.)</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vised" w:type="character">
    <w:name w:val="Revised"/>
    <w:rPr>
      <w:color w:val="1F4FD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2026-10-02T11:47:16Z</dcterms:created>
  <dcterms:modified xsi:type="dcterms:W3CDTF">2026-10-02T11:47:16Z</dcterms:modified>
</cp:coreProperties>
</file>

<file path=docProps/custom.xml><?xml version="1.0" encoding="utf-8"?>
<Properties xmlns="http://schemas.openxmlformats.org/officeDocument/2006/custom-properties" xmlns:vt="http://schemas.openxmlformats.org/officeDocument/2006/docPropsVTypes"/>
</file>