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formal exit. Although qualitative research has long described this gradual disengagement, its longitudinal behavioral signature has been hard to observe directly. We use Norway’s public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vol_milestone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vol_milestone = 0 (Supplementary Table S12), and fitted a</w:t>
      </w:r>
      <w:r>
        <w:t xml:space="preserve"> </w:t>
      </w:r>
      <w:r>
        <w:rPr>
          <w:i/>
          <w:iCs/>
        </w:rPr>
        <w:t xml:space="preserve">lagged-volume</w:t>
      </w:r>
      <w:r>
        <w:t xml:space="preserve"> </w:t>
      </w:r>
      <w:r>
        <w:t xml:space="preserve">model in which the only behavioral predictor was vol_pre_milestone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(vol_milestone)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(vol_milestone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vol_milestone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 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d6f240be8e61aa8aa48ffc72111d28f37ac04b3"/>
    <w:p>
      <w:pPr>
        <w:pStyle w:val="Heading2"/>
      </w:pPr>
      <w:r>
        <w:t xml:space="preserve">3.5 Landmark analysis: addressing potential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vol_milestone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vol_milestone = 0 produced HR = 0.51 for vol_milestone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vol_milestone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vol_milestone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vol_milestone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yields substantially better discrimination of senior retention than baseline performance does (Cox C-index 0.85 vs. 0.57; AUC-equivalent gain from approximately 0.59 to 0.82 in cross-validated logistic regression).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(vol_milestone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in the first place. We frame this as a feature of the design — it lets us trace disengagement among athletes who were genuinely in the system — but readers should not extrapolate the calibration metrics (Table 6) to</w:t>
      </w:r>
      <w:r>
        <w:t xml:space="preserve"> </w:t>
      </w:r>
      <w:r>
        <w:t xml:space="preserve">“everyone who ever ran a school race.”</w:t>
      </w:r>
      <w:r>
        <w:t xml:space="preserve"> </w:t>
      </w:r>
      <w:r>
        <w:t xml:space="preserve">A second-stage retention analysis applied to the broader population (e.g., all registered club members regardless of regional-meet entry) would have different base rates and likely different threshold optima.</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2026-05-18T12:00:09Z</dcterms:created>
  <dcterms:modified xsi:type="dcterms:W3CDTF">2026-05-18T12:00:09Z</dcterms:modified>
</cp:coreProperties>
</file>

<file path=docProps/custom.xml><?xml version="1.0" encoding="utf-8"?>
<Properties xmlns="http://schemas.openxmlformats.org/officeDocument/2006/custom-properties" xmlns:vt="http://schemas.openxmlformats.org/officeDocument/2006/docPropsVTypes"/>
</file>