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disengagement precedes youth-sport dropout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formal exit. Although qualitative research has long described this gradual disengagement, its longitudinal behavioral signature has been hard to observe directly. We use Norway’s public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Kretchmar’s (2000) account of</w:t>
      </w:r>
      <w:r>
        <w:t xml:space="preserve"> </w:t>
      </w:r>
      <w:r>
        <w:rPr>
          <w:i/>
          <w:iCs/>
        </w:rPr>
        <w:t xml:space="preserve">meaningful engagement</w:t>
      </w:r>
      <w:r>
        <w:t xml:space="preserve"> </w:t>
      </w:r>
      <w:r>
        <w:t xml:space="preserve">makes a complementary point at a more general level: sustained participation is anchored not in performance per se but in the meanings adolescents come to attach to the activity.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Jayanthi et al., 2015;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behavioral trajectories of future retainers and future dropouts should</w:t>
      </w:r>
      <w:r>
        <w:t xml:space="preserve"> </w:t>
      </w:r>
      <w:r>
        <w:rPr>
          <w:i/>
          <w:iCs/>
        </w:rPr>
        <w:t xml:space="preserve">diverge before</w:t>
      </w:r>
      <w:r>
        <w:t xml:space="preserve"> </w:t>
      </w:r>
      <w:r>
        <w:t xml:space="preserve">formal exit (the dropout-as-process prediction). Second,</w:t>
      </w:r>
      <w:r>
        <w:t xml:space="preserve"> </w:t>
      </w:r>
      <w:r>
        <w:rPr>
          <w:i/>
          <w:iCs/>
        </w:rPr>
        <w:t xml:space="preserve">behavioral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behavior not as a direct measure of motivation but as an observable behavioral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 while changing sponsor name). Each edition admitted athletes aged 13–14 in the year of the meet, who entered by registering interest through their regional club federation; in practice nearly all active club athletes who applied were included (in some districts all of them), with no qualifying performance threshold. This soft self-selection is a design feature: the baseline cohort consists of adolescents already engaged with organized track and field through a registered club, not children who happened to attend a school race or accompanied a friend to a single local meet. Disengagement trajectories therefore unfold from a baseline of demonstrable engagement.</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year_round_age_X</w:t>
      </w:r>
      <w:r>
        <w:t xml:space="preserve"> </w:t>
      </w:r>
      <w:r>
        <w:t xml:space="preserve">= 1 if the athlete competed in both an outdoor and an indoor meet in that age year, else 0). We derived composite indicators:</w:t>
      </w:r>
      <w:r>
        <w:t xml:space="preserve"> </w:t>
      </w:r>
      <w:r>
        <w:rPr>
          <w:b/>
          <w:bCs/>
        </w:rPr>
        <w:t xml:space="preserve">vol_pre_milestone</w:t>
      </w:r>
      <w:r>
        <w:t xml:space="preserve"> </w:t>
      </w:r>
      <w:r>
        <w:t xml:space="preserve">(sum of meets at ages 13–14, the pre-qualification window),</w:t>
      </w:r>
      <w:r>
        <w:t xml:space="preserve"> </w:t>
      </w:r>
      <w:r>
        <w:rPr>
          <w:b/>
          <w:bCs/>
        </w:rPr>
        <w:t xml:space="preserve">vol_milestone</w:t>
      </w:r>
      <w:r>
        <w:t xml:space="preserve"> </w:t>
      </w:r>
      <w:r>
        <w:t xml:space="preserve">(sum of meets at ages 15–16, the qualification-milestone window), and</w:t>
      </w:r>
      <w:r>
        <w:t xml:space="preserve"> </w:t>
      </w:r>
      <w:r>
        <w:rPr>
          <w:b/>
          <w:bCs/>
        </w:rPr>
        <w:t xml:space="preserve">vol_trend_milestone</w:t>
      </w:r>
      <w:r>
        <w:t xml:space="preserve"> </w:t>
      </w:r>
      <w:r>
        <w:t xml:space="preserve">(vol_milestone − vol_pre_milestone). We also computed</w:t>
      </w:r>
      <w:r>
        <w:t xml:space="preserve"> </w:t>
      </w:r>
      <w:r>
        <w:rPr>
          <w:b/>
          <w:bCs/>
        </w:rPr>
        <w:t xml:space="preserve">n_champ_types</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vol_milestone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vol_milestone = 0 (Supplementary Table S12), and fitted a</w:t>
      </w:r>
      <w:r>
        <w:t xml:space="preserve"> </w:t>
      </w:r>
      <w:r>
        <w:rPr>
          <w:i/>
          <w:iCs/>
        </w:rPr>
        <w:t xml:space="preserve">lagged-volume</w:t>
      </w:r>
      <w:r>
        <w:t xml:space="preserve"> </w:t>
      </w:r>
      <w:r>
        <w:t xml:space="preserve">model in which the only behavioral predictor was vol_pre_milestone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sample-size-and-detection-capacity"/>
    <w:p>
      <w:pPr>
        <w:pStyle w:val="Heading3"/>
      </w:pPr>
      <w:r>
        <w:t xml:space="preserve">2.5.4 Sample size and detection capacity</w:t>
      </w:r>
    </w:p>
    <w:p>
      <w:pPr>
        <w:pStyle w:val="FirstParagraph"/>
      </w:pPr>
      <w:r>
        <w:t xml:space="preserve">Although a-priori power calculations are standard in experimental designs, they are less directly applicable to population-based register studies where the full cohort meeting inclusion criteria is observed and there is no sampling step at which the analyst chooses an</w:t>
      </w:r>
      <w:r>
        <w:t xml:space="preserve"> </w:t>
      </w:r>
      <w:r>
        <w:rPr>
          <w:i/>
          <w:iCs/>
        </w:rPr>
        <w:t xml:space="preserve">N</w:t>
      </w:r>
      <w:r>
        <w:t xml:space="preserve">. We therefore replace the standard a-priori power calculation with a</w:t>
      </w:r>
      <w:r>
        <w:t xml:space="preserve"> </w:t>
      </w:r>
      <w:r>
        <w:rPr>
          <w:i/>
          <w:iCs/>
        </w:rPr>
        <w:t xml:space="preserve">detection-capacity</w:t>
      </w:r>
      <w:r>
        <w:t xml:space="preserve"> </w:t>
      </w:r>
      <w:r>
        <w:t xml:space="preserve">analysis: given the observed event count, what is the smallest effect size that the design could reliably detect, and how does this compare to effect sizes reported in prior longitudinal dropout research?</w:t>
      </w:r>
    </w:p>
    <w:p>
      <w:pPr>
        <w:pStyle w:val="BodyText"/>
      </w:pPr>
      <w:r>
        <w:t xml:space="preserve">We computed the minimum detectable hazard ratio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α</m:t>
        </m:r>
        <m:r>
          <m:rPr>
            <m:sty m:val="p"/>
          </m:rPr>
          <m:t>=</m:t>
        </m:r>
        <m:r>
          <m:t>.05</m:t>
        </m:r>
      </m:oMath>
      <w:r>
        <w:t xml:space="preserve">, and 80% power,</w:t>
      </w:r>
      <w:r>
        <w:t xml:space="preserve"> </w:t>
      </w:r>
      <m:oMath>
        <m:r>
          <m:t>H</m:t>
        </m:r>
        <m:sSub>
          <m:e>
            <m:r>
              <m:t>R</m:t>
            </m:r>
          </m:e>
          <m:sub>
            <m:r>
              <m:rPr>
                <m:sty m:val="p"/>
              </m:rPr>
              <m:t>min</m:t>
            </m:r>
          </m:sub>
        </m:sSub>
        <m:r>
          <m:rPr>
            <m:sty m:val="p"/>
          </m:rPr>
          <m:t>≈</m:t>
        </m:r>
        <m:r>
          <m:t>1.07</m:t>
        </m:r>
      </m:oMath>
      <w:r>
        <w:t xml:space="preserve"> </w:t>
      </w:r>
      <w:r>
        <w:t xml:space="preserve">per SD — i.e., effects with</w:t>
      </w:r>
      <w:r>
        <w:t xml:space="preserve"> </w:t>
      </w:r>
      <m:oMath>
        <m:r>
          <m:t>H</m:t>
        </m:r>
        <m:r>
          <m:t>R</m:t>
        </m:r>
        <m:r>
          <m:rPr>
            <m:sty m:val="p"/>
          </m:rPr>
          <m:t>&lt;</m:t>
        </m:r>
        <m:r>
          <m:t>0.93</m:t>
        </m:r>
      </m:oMath>
      <w:r>
        <w:t xml:space="preserve"> </w:t>
      </w:r>
      <w:r>
        <w:t xml:space="preserve">or</w:t>
      </w:r>
      <w:r>
        <w:t xml:space="preserve"> </w:t>
      </w:r>
      <m:oMath>
        <m:r>
          <m:rPr>
            <m:sty m:val="p"/>
          </m:rPr>
          <m:t>&gt;</m:t>
        </m:r>
        <m:r>
          <m:t>1.07</m:t>
        </m:r>
      </m:oMath>
      <w:r>
        <w:t xml:space="preserve"> </w:t>
      </w:r>
      <w:r>
        <w:t xml:space="preserve">are detectable.</w:t>
      </w:r>
    </w:p>
    <w:p>
      <w:pPr>
        <w:pStyle w:val="BodyText"/>
      </w:pPr>
      <w:r>
        <w:t xml:space="preserve">Effect sizes in prior prospective youth-sport dropout research are typically</w:t>
      </w:r>
      <w:r>
        <w:t xml:space="preserve"> </w:t>
      </w:r>
      <w:r>
        <w:rPr>
          <w:i/>
          <w:iCs/>
        </w:rPr>
        <w:t xml:space="preserve">small-to-moderate</w:t>
      </w:r>
      <w:r>
        <w:t xml:space="preserve">: motivational and engagement-based predictors in 12–24-month prospective designs (Sarrazin et al., 2002; Calvo et al., 2010) and in survey-based studies of dropout reasons (Espedalen &amp; Seippel, 2022) generally correspond to standardized effect-size estimates in the small-to-moderate range (Cohen’s</w:t>
      </w:r>
      <w:r>
        <w:t xml:space="preserve"> </w:t>
      </w:r>
      <w:r>
        <w:rPr>
          <w:i/>
          <w:iCs/>
        </w:rPr>
        <w:t xml:space="preserve">d</w:t>
      </w:r>
      <w:r>
        <w:t xml:space="preserve"> </w:t>
      </w:r>
      <w:r>
        <w:t xml:space="preserve">≈ 0.2–0.5; comparable odds ratios ≈ 1.4–2.5). The detection capacity of the present design (minimum detectable HR ≈ 1.07) is therefore well below the effect magnitudes typically reported in this literature; null findings reported here (e.g., the unadjusted sex coefficient in M1, or HHI in M3) should be interpreted as substantively small rather than as underpowered.</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(vol_milestone)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(vol_milestone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5"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2974817"/>
            <wp:effectExtent b="0" l="0" r="0" t="0"/>
            <wp:docPr descr="Figure 1" title="" id="40" name="Picture"/>
            <a:graphic>
              <a:graphicData uri="http://schemas.openxmlformats.org/drawingml/2006/picture">
                <pic:pic>
                  <pic:nvPicPr>
                    <pic:cNvPr descr="figures/fig1_conceptual_model.png" id="41" name="Picture"/>
                    <pic:cNvPicPr>
                      <a:picLocks noChangeArrowheads="1" noChangeAspect="1"/>
                    </pic:cNvPicPr>
                  </pic:nvPicPr>
                  <pic:blipFill>
                    <a:blip r:embed="rId39"/>
                    <a:stretch>
                      <a:fillRect/>
                    </a:stretch>
                  </pic:blipFill>
                  <pic:spPr bwMode="auto">
                    <a:xfrm>
                      <a:off x="0" y="0"/>
                      <a:ext cx="5334000" cy="2974817"/>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A behavioral-marker model of youth-sport disengagement. The diagram shows the relationship being tested: theoretical mechanisms hypothesized by the Sport Commitment Model, self-determination theory, and the role-exit / withdrawal-as-process tradition (left) are not directly observed, but are predicted to leave a footprint in measurable competition behavior (centre), which precedes the outcome of active senior retention (right).</w:t>
      </w:r>
    </w:p>
    <w:p>
      <w:pPr>
        <w:pStyle w:val="CaptionedFigure"/>
      </w:pPr>
      <w:r>
        <w:drawing>
          <wp:inline>
            <wp:extent cx="5334000" cy="3379960"/>
            <wp:effectExtent b="0" l="0" r="0" t="0"/>
            <wp:docPr descr="Figure 2" title="" id="43" name="Picture"/>
            <a:graphic>
              <a:graphicData uri="http://schemas.openxmlformats.org/drawingml/2006/picture">
                <pic:pic>
                  <pic:nvPicPr>
                    <pic:cNvPr descr="figures/fig2_volume_trajectory.png" id="44" name="Picture"/>
                    <pic:cNvPicPr>
                      <a:picLocks noChangeArrowheads="1" noChangeAspect="1"/>
                    </pic:cNvPicPr>
                  </pic:nvPicPr>
                  <pic:blipFill>
                    <a:blip r:embed="rId42"/>
                    <a:stretch>
                      <a:fillRect/>
                    </a:stretch>
                  </pic:blipFill>
                  <pic:spPr bwMode="auto">
                    <a:xfrm>
                      <a:off x="0" y="0"/>
                      <a:ext cx="5334000" cy="337996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at age 15, while future retainers maintain or increase participation through age 17.</w:t>
      </w:r>
    </w:p>
    <w:bookmarkEnd w:id="45"/>
    <w:bookmarkStart w:id="46"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6"/>
    <w:bookmarkStart w:id="50"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 follow-up year 14; athletes in the lowest stratum retained 4%.</w:t>
      </w:r>
    </w:p>
    <w:bookmarkEnd w:id="50"/>
    <w:bookmarkStart w:id="51"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vol_milestone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 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1"/>
    <w:bookmarkStart w:id="52"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vol_milestone, HHI early, and championship types; period-specific HRs are given in Table 5. The substantive effect is robust to the violation (Supplementary Table S6).</w:t>
      </w:r>
    </w:p>
    <w:p>
      <w:r>
        <w:pict>
          <v:rect style="width:0;height:1.5pt" o:hralign="center" o:hrstd="t" o:hr="t"/>
        </w:pict>
      </w:r>
    </w:p>
    <w:bookmarkEnd w:id="52"/>
    <w:bookmarkStart w:id="53" w:name="Xd6f240be8e61aa8aa48ffc72111d28f37ac04b3"/>
    <w:p>
      <w:pPr>
        <w:pStyle w:val="Heading2"/>
      </w:pPr>
      <w:r>
        <w:t xml:space="preserve">3.5 Landmark analysis: addressing potential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vol_milestone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vol_milestone = 0 produced HR = 0.51 for vol_milestone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bookmarkEnd w:id="53"/>
    <w:bookmarkStart w:id="54"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4"/>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CaptionedFigure"/>
      </w:pPr>
      <w:r>
        <w:drawing>
          <wp:inline>
            <wp:extent cx="5334000" cy="3908701"/>
            <wp:effectExtent b="0" l="0" r="0" t="0"/>
            <wp:docPr descr="Figure 4" title="" id="56" name="Picture"/>
            <a:graphic>
              <a:graphicData uri="http://schemas.openxmlformats.org/drawingml/2006/picture">
                <pic:pic>
                  <pic:nvPicPr>
                    <pic:cNvPr descr="figures/fig4_time_varying_forest.png" id="57" name="Picture"/>
                    <pic:cNvPicPr>
                      <a:picLocks noChangeArrowheads="1" noChangeAspect="1"/>
                    </pic:cNvPicPr>
                  </pic:nvPicPr>
                  <pic:blipFill>
                    <a:blip r:embed="rId55"/>
                    <a:stretch>
                      <a:fillRect/>
                    </a:stretch>
                  </pic:blipFill>
                  <pic:spPr bwMode="auto">
                    <a:xfrm>
                      <a:off x="0" y="0"/>
                      <a:ext cx="5334000" cy="3908701"/>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Time-varying hazard ratios for the full Cox model across three follow-up periods (years 0–3, 3–6, 6+ post-baseline). Hazard ratios are per-SD for standardized covariates (vol_milestone, Tyrving, HHI early) and per-unit for championship types and female. The dominant predictor — competition volume at age 15–16 — is highly protective in years 0–3 (HR = 0.14), moderately protective in years 3–6 (HR = 0.69), and indistinguishable from null in years 6+ (HR = 0.96).</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vol_milestone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vol_milestone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vol_milestone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yields substantially better discrimination of senior retention than baseline performance does (Cox C-index 0.85 vs. 0.57; AUC-equivalent gain from approximately 0.59 to 0.82 in cross-validated logistic regression).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(vol_milestone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our findings describe disengagement trajectories</w:t>
      </w:r>
      <w:r>
        <w:t xml:space="preserve"> </w:t>
      </w:r>
      <w:r>
        <w:rPr>
          <w:i/>
          <w:iCs/>
        </w:rPr>
        <w:t xml:space="preserve">from a baseline of demonstrable engagement</w:t>
      </w:r>
      <w:r>
        <w:t xml:space="preserve"> </w:t>
      </w:r>
      <w:r>
        <w:t xml:space="preserve">and do not generalize to the broader population of adolescents who never entered the competitive funnel in the first place. We frame this as a feature of the design — it lets us trace disengagement among athletes who were genuinely in the system — but readers should not extrapolate the calibration metrics (Table 6) to</w:t>
      </w:r>
      <w:r>
        <w:t xml:space="preserve"> </w:t>
      </w:r>
      <w:r>
        <w:t xml:space="preserve">“everyone who ever ran a school race.”</w:t>
      </w:r>
      <w:r>
        <w:t xml:space="preserve"> </w:t>
      </w:r>
      <w:r>
        <w:t xml:space="preserve">A second-stage retention analysis applied to the broader population (e.g., all registered club members regardless of regional-meet entry) would have different base rates and likely different threshold optima.</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2026-05-18T12:00:10Z</dcterms:created>
  <dcterms:modified xsi:type="dcterms:W3CDTF">2026-05-18T12:00:10Z</dcterms:modified>
</cp:coreProperties>
</file>

<file path=docProps/custom.xml><?xml version="1.0" encoding="utf-8"?>
<Properties xmlns="http://schemas.openxmlformats.org/officeDocument/2006/custom-properties" xmlns:vt="http://schemas.openxmlformats.org/officeDocument/2006/docPropsVTypes"/>
</file>