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S1–S12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 15–16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Trajectories diverge sharply from age 15.</w:t>
      </w:r>
    </w:p>
    <w:p>
      <w:r>
        <w:pict>
          <v:rect style="width:0;height:1.5pt" o:hralign="center" o:hrstd="t" o:hr="t"/>
        </w:pict>
      </w:r>
    </w:p>
    <w:bookmarkEnd w:id="10"/>
    <w:bookmarkStart w:id="11" w:name="X7d34bfa70e5826ca52b0a5ac69fbe0293f63528"/>
    <w:p>
      <w:pPr>
        <w:pStyle w:val="Heading2"/>
      </w:pPr>
      <w:r>
        <w:t xml:space="preserve">Table 3. Stepwise Cox proportional hazards models for time to dropout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[0.95, 1.14]</w:t>
            </w:r>
          </w:p>
        </w:tc>
        <w:tc>
          <w:tcPr/>
          <w:p>
            <w:pPr>
              <w:pStyle w:val="Compact"/>
            </w:pPr>
            <w:r>
              <w:t xml:space="preserve">.352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.052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.059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[0.93, 1.03]</w:t>
            </w:r>
          </w:p>
        </w:tc>
        <w:tc>
          <w:tcPr/>
          <w:p>
            <w:pPr>
              <w:pStyle w:val="Compact"/>
            </w:pPr>
            <w:r>
              <w:t xml:space="preserve">.455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M4: + Volume at milestone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[0.98, 1.20]</w:t>
            </w:r>
          </w:p>
        </w:tc>
        <w:tc>
          <w:tcPr/>
          <w:p>
            <w:pPr>
              <w:pStyle w:val="Compact"/>
            </w:pPr>
            <w:r>
              <w:t xml:space="preserve">.109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[0.99, 1.09]</w:t>
            </w:r>
          </w:p>
        </w:tc>
        <w:tc>
          <w:tcPr/>
          <w:p>
            <w:pPr>
              <w:pStyle w:val="Compact"/>
            </w:pPr>
            <w:r>
              <w:t xml:space="preserve">.169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1.00]</w:t>
            </w:r>
          </w:p>
        </w:tc>
        <w:tc>
          <w:tcPr/>
          <w:p>
            <w:pPr>
              <w:pStyle w:val="Compact"/>
            </w:pPr>
            <w:r>
              <w:t xml:space="preserve">.061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M5: + Championship types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[1.02, 1.24]</w:t>
            </w:r>
          </w:p>
        </w:tc>
        <w:tc>
          <w:tcPr/>
          <w:p>
            <w:pPr>
              <w:pStyle w:val="Compact"/>
            </w:pPr>
            <w:r>
              <w:t xml:space="preserve">.025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[1.00, 1.10]</w:t>
            </w:r>
          </w:p>
        </w:tc>
        <w:tc>
          <w:tcPr/>
          <w:p>
            <w:pPr>
              <w:pStyle w:val="Compact"/>
            </w:pPr>
            <w:r>
              <w:t xml:space="preserve">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1.01]</w:t>
            </w:r>
          </w:p>
        </w:tc>
        <w:tc>
          <w:tcPr/>
          <w:p>
            <w:pPr>
              <w:pStyle w:val="Compact"/>
            </w:pPr>
            <w:r>
              <w:t xml:space="preserve">.080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 (count, 0–4)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HRs are per one-SD increase for standardized covariates and per unit for the count of championship types. Schoenfeld residual tests detected proportional-hazards violations for vol_milestone, HHI early, and championship types; period-specific HRs are given in Table 5. The substantive effect is robust to the violation (Supplementary Table S6).</w:t>
      </w:r>
    </w:p>
    <w:p>
      <w:r>
        <w:pict>
          <v:rect style="width:0;height:1.5pt" o:hralign="center" o:hrstd="t" o:hr="t"/>
        </w:pict>
      </w:r>
    </w:p>
    <w:bookmarkEnd w:id="11"/>
    <w:bookmarkStart w:id="12" w:name="X2c07cb964a497adccfe12c5c8fadd35e743445f"/>
    <w:p>
      <w:pPr>
        <w:pStyle w:val="Heading2"/>
      </w:pPr>
      <w:r>
        <w:t xml:space="preserve">Table 4. Landmark analysis at age 16 — among athletes still active at age 16, does milestone-window volume predict subsequent senior retention?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still demonstrably active at age 16 (defined as ≥1 registered result at age 16; n = 1,167 of 2,123); n = 960 after complete-case restriction on covariates. Follow-up time measured from age 16. The volume effect remains the dominant predictor among continuing athletes, ruling out a measurement-tautology interpretation. A complementary analysis using only pre-milestone (ages 13–14) volume produced HR = 0.50 (Supplementary Table S10), showing the signal is detectable before the milestone window itself.</w:t>
      </w:r>
    </w:p>
    <w:p>
      <w:r>
        <w:pict>
          <v:rect style="width:0;height:1.5pt" o:hralign="center" o:hrstd="t" o:hr="t"/>
        </w:pict>
      </w:r>
    </w:p>
    <w:bookmarkEnd w:id="12"/>
    <w:bookmarkStart w:id="13" w:name="Xa05187ee0a9bef3703e8a486f85bae536c25ebe"/>
    <w:p>
      <w:pPr>
        <w:pStyle w:val="Heading2"/>
      </w:pPr>
      <w:r>
        <w:t xml:space="preserve">Table 5. Time-varying hazard ratios across follow-up periods (full Cox model,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dominant predictor — competition volume at age 15–16 — is most protective in the first three years after baseline (when most dropout occurs), moderately protective in years 3–6 (the junior transition), and indistinguishable from null in years 6+ (athletes who have survived the junior transition).</w:t>
      </w:r>
    </w:p>
    <w:p>
      <w:r>
        <w:pict>
          <v:rect style="width:0;height:1.5pt" o:hralign="center" o:hrstd="t" o:hr="t"/>
        </w:pict>
      </w:r>
    </w:p>
    <w:bookmarkEnd w:id="13"/>
    <w:bookmarkStart w:id="14" w:name="X1617fc3b22b5b5cc20d6b4ed269a2b13f074c0a"/>
    <w:p>
      <w:pPr>
        <w:pStyle w:val="Heading2"/>
      </w:pPr>
      <w:r>
        <w:t xml:space="preserve">Table 6. Calibration of milestone-window volume as a behavioral early-warning indicator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meet (vol = 0)</w:t>
            </w:r>
          </w:p>
        </w:tc>
        <w:tc>
          <w:tcPr/>
          <w:p>
            <w:pPr>
              <w:pStyle w:val="Compact"/>
            </w:pPr>
            <w:r>
              <w:t xml:space="preserve">27.7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42.2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53.7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meets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PPV (positive predictive value) is the proportion of flagged athletes who subsequently dropped out before senior age. Across all thresholds PPV ≥ 0.95, indicating that the rule</w:t>
      </w:r>
      <w:r>
        <w:t xml:space="preserve"> </w:t>
      </w:r>
      <w:r>
        <w:t xml:space="preserve">“flag athletes whose milestone-window volume is below threshold”</w:t>
      </w:r>
      <w:r>
        <w:t xml:space="preserve"> </w:t>
      </w:r>
      <w:r>
        <w:t xml:space="preserve">is consistently informative. The choice of threshold trades sensitivity for cohort coverage but does not change PPV materially.</w:t>
      </w:r>
    </w:p>
    <w:p>
      <w:r>
        <w:pict>
          <v:rect style="width:0;height:1.5pt" o:hralign="center" o:hrstd="t" o:hr="t"/>
        </w:pict>
      </w:r>
    </w:p>
    <w:bookmarkEnd w:id="14"/>
    <w:bookmarkStart w:id="15" w:name="X1b567785133ca62f4b74fa1df86e694c66837dd"/>
    <w:p>
      <w:pPr>
        <w:pStyle w:val="Heading2"/>
      </w:pPr>
      <w:r>
        <w:t xml:space="preserve">Table 7. Cross-cohort replication: full Cox model fit separately in each birth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[1.05, 1.35]</w:t>
            </w:r>
          </w:p>
        </w:tc>
        <w:tc>
          <w:tcPr/>
          <w:p>
            <w:pPr>
              <w:pStyle w:val="Compact"/>
            </w:pPr>
            <w:r>
              <w:t xml:space="preserve">.006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1.10]</w:t>
            </w:r>
          </w:p>
        </w:tc>
        <w:tc>
          <w:tcPr/>
          <w:p>
            <w:pPr>
              <w:pStyle w:val="Compact"/>
            </w:pPr>
            <w:r>
              <w:t xml:space="preserve">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[0.94, 1.07]</w:t>
            </w:r>
          </w:p>
        </w:tc>
        <w:tc>
          <w:tcPr/>
          <w:p>
            <w:pPr>
              <w:pStyle w:val="Compact"/>
            </w:pPr>
            <w:r>
              <w:t xml:space="preserve">.966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[0.44, 0.55]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[0.65, 0.78]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[0.86, 1.21]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[1.00, 1.19]</w:t>
            </w:r>
          </w:p>
        </w:tc>
        <w:tc>
          <w:tcPr/>
          <w:p>
            <w:pPr>
              <w:pStyle w:val="Compact"/>
            </w:pPr>
            <w:r>
              <w:t xml:space="preserve">.047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[0.80, 0.96]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[0.31, 0.43]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[0.68,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milestone-window volume effect replicates in both cohorts at similar magnitude and direction. The cohort difference in the sex coefficient is discussed in the text.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9" w:name="supplementary-tables"/>
    <w:p>
      <w:pPr>
        <w:pStyle w:val="Heading1"/>
      </w:pPr>
      <w:r>
        <w:t xml:space="preserve">Supplementary Tables</w:t>
      </w:r>
    </w:p>
    <w:bookmarkStart w:id="17" w:name="X69049062199ed7b59abddc124a6723c5caf8be2"/>
    <w:p>
      <w:pPr>
        <w:pStyle w:val="Heading2"/>
      </w:pPr>
      <w:r>
        <w:t xml:space="preserve">Table S1. Proportional-hazards assumption test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c5dd1c4c02026840d5c61b2f77d535f234f96d0"/>
    <w:p>
      <w:pPr>
        <w:pStyle w:val="Heading2"/>
      </w:pPr>
      <w:r>
        <w:t xml:space="preserve">Table S7. Subgroup analysis by sex (full Cox model)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Effect directions and magnitudes are concordant across sexes; C-index = 0.843 in both subgroups.</w:t>
      </w:r>
    </w:p>
    <w:bookmarkEnd w:id="23"/>
    <w:bookmarkStart w:id="24" w:name="Xd8c75d885ed4f74fb99aada8fe315994e299868"/>
    <w:p>
      <w:pPr>
        <w:pStyle w:val="Heading2"/>
      </w:pPr>
      <w:r>
        <w:t xml:space="preserve">Table S8.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(vol_milestone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8ad7662995750cb8a3909655a8ffa090e1cf80d"/>
    <w:p>
      <w:pPr>
        <w:pStyle w:val="Heading2"/>
      </w:pPr>
      <w:r>
        <w:t xml:space="preserve">Table S10. Lagged volume — pre-milestone (ages 13–14) alone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 Behavioral signal is detectable using only pre-milestone data.</w:t>
      </w:r>
    </w:p>
    <w:bookmarkEnd w:id="26"/>
    <w:bookmarkStart w:id="27" w:name="X455b0fd8e754bb2e8b14c2ff2e7ee6b0e2cdf9a"/>
    <w:p>
      <w:pPr>
        <w:pStyle w:val="Heading2"/>
      </w:pPr>
      <w:r>
        <w:t xml:space="preserve">Table S11. Sensitivity excluding zero-volume athletes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vol_milestone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Importances sum to 1.0 across all 22 features.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2026-05-18T12:00:10Z</dcterms:created>
  <dcterms:modified xsi:type="dcterms:W3CDTF">2026-05-18T12:00:10Z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