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races of 600 m and longer, race walking,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pipeline from register extraction to analysis file and corrected the further errors it found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at the baseline meet (AUC difference 0.040 [0.006, 0.074]), but the two are complementary, and with its within-baseline trajectory performance does not differ from volume. Section 4.2 and the Abstract now say this, and Hypothesis 2 is described as partially supported.</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more clearly in Cohort B than in Cohort A (difference p = .11), adds no discrimination, and is no longer significant once performance in the athlete’s main event is controlled. The Abstract now says only that event concentration was not robustly associated with retention.</w:t>
      </w:r>
    </w:p>
    <w:p>
      <w:pPr>
        <w:pStyle w:val="FirstParagraph"/>
      </w:pPr>
      <w:r>
        <w:rPr>
          <w:b/>
          <w:bCs/>
        </w:rPr>
        <w:t xml:space="preserve">Other corrections.</w:t>
      </w:r>
      <w:r>
        <w:t xml:space="preserve"> </w:t>
      </w:r>
      <w:r>
        <w:t xml:space="preserve">All tables and figures are now generated directly from the analysis code. In doing so, and in the audit, we found and corrected several data-handling errors (an incomplete extraction, the identification of the baseline meet, results after the end of follow-up, register corrections of sex, the coding of region, club and championship types, and double-counted meet records), errors in two secondary Cox analyses and in the calibration figure, and some errors of transcription and presentation (Tables 5, S2 and S4, the Figure 3 caption and the Kaplan–Meier summary in Section 3.2, the title inside Figure 2, one unconverted citation, a box in Figure 1, the Table 1 note, and rounding in a few supplementary table cells). The data and analysis corrections are listed in Supplementary Methods S-M12. Apart from the changes in the role of performance and specialization described above, none alters the conclusions.</w:t>
      </w:r>
    </w:p>
    <w:p>
      <w:pPr>
        <w:pStyle w:val="BodyText"/>
      </w:pPr>
      <w:r>
        <w:rPr>
          <w:b/>
          <w:bCs/>
        </w:rPr>
        <w:t xml:space="preserve">Length.</w:t>
      </w:r>
      <w:r>
        <w:t xml:space="preserve"> </w:t>
      </w:r>
      <w:r>
        <w:t xml:space="preserve">We have kept the main text close to its submitted length (6,352 words, against 6,036 at submission) by placing most new detail in the Supplementary Methods (S-M3, S-M4, S-M6, S-M9 to S-M12) and new Supplementary Tables S26–S32, and by shortening the Introduction and Discussion.</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 We also corrected the list of categories in Section 2.4.3: the index has always used the register’s own event categories, but the submitted text listed combined events and relays, which the register does not use as categories, and omitted steeplechase and ball throws.</w:t>
      </w:r>
    </w:p>
    <w:p>
      <w:pPr>
        <w:pStyle w:val="BodyText"/>
      </w:pPr>
      <w:r>
        <w:t xml:space="preserve">On the submitted data, the correction changes the volume estimate little (OR 2.40 → 2.33) and reduces the HHI association (1.36 → 1.24). In the final revised model, HHI has OR 1.18 [1.04, 1.34]. This association is clearer in Cohort B (1.32 [1.10, 1.60]) than in Cohort A (1.07 [0.90, 1.28]; difference p = .11), and adding HHI does not improve discrimination (ΔAUC −0.002 [−0.005, 0.001]). With performance now correctly scored, it is also no longer significant once performance in the athlete’s main event category is controlled (1.07 [0.94, 1.23]; Table S18). The Abstract therefore now states only that event concentration was not robustly associated with retention, and Sections 3.9, 4.1, 4.6 and 4.8 are revised accordingly.</w:t>
      </w:r>
    </w:p>
    <w:p>
      <w:pPr>
        <w:pStyle w:val="BodyText"/>
      </w:pPr>
      <w:r>
        <w:rPr>
          <w:i/>
          <w:iCs/>
        </w:rPr>
        <w:t xml:space="preserve">Changes:</w:t>
      </w:r>
      <w:r>
        <w:t xml:space="preserve"> </w:t>
      </w:r>
      <w:r>
        <w:t xml:space="preserve">Abstract; Section 2.4.3; Supplementary Methods S-M8; all HHI-containing tables (Tables 3, 5, 7, S1–S2, S5–S11, S13, S16–S18, S20–S22, S25); Sections 3.3, 3.9, 4.1, 4.6, 4.8.</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The primary and all new cross-validations use in-fold standardization and 20 repeats of stratified 5-fold cross-validation (Tables S9, S17 and S24, re-runs of the original scripts, keep the single split and say so).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3"/>
        </w:numPr>
      </w:pPr>
      <w:r>
        <w:t xml:space="preserve">club-grouped folds: CV-AUC 0.766 (0.735–0.797), slope 0.97, Brier 0.117;</w:t>
      </w:r>
    </w:p>
    <w:p>
      <w:pPr>
        <w:pStyle w:val="Compact"/>
        <w:numPr>
          <w:ilvl w:val="0"/>
          <w:numId w:val="1003"/>
        </w:numPr>
      </w:pPr>
      <w:r>
        <w:t xml:space="preserve">athlete-level folds: 0.767 (0.737–0.797), 0.98, 0.117.</w:t>
      </w:r>
    </w:p>
    <w:p>
      <w:pPr>
        <w:pStyle w:val="FirstParagraph"/>
      </w:pPr>
      <w:r>
        <w:t xml:space="preserve">Together with the club random-intercept model, now fitted by maximum likelihood (volume OR 2.07 [1.80, 2.37]; the clubs differ little in retention itself: SD of the club intercepts 0.17, likelihood-ratio p = .31), club-clustered standard errors (2.04 [1.75, 2.39]) and club fixed effects, which compare athletes only with others from their own club (2.28 [1.93, 2.69]),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Abstract; Sections 2.5.1, 2.5.5, 3.4, 4.1 and 4.7;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Checked against the federation’s scoring workbook, the routine also used wrong formulas for races of 600 m and longer, race walking, throws and pole vault.</w:t>
      </w:r>
    </w:p>
    <w:p>
      <w:pPr>
        <w:pStyle w:val="BodyText"/>
      </w:pPr>
      <w:r>
        <w:t xml:space="preserve">We corrected the scoring so that every result is scored against the table row for its event, specification, sex and age, with the workbook’s formulas (Section 2.4.2; Supplementary Methods S-M3).</w:t>
      </w:r>
    </w:p>
    <w:p>
      <w:pPr>
        <w:pStyle w:val="Compact"/>
        <w:numPr>
          <w:ilvl w:val="0"/>
          <w:numId w:val="1004"/>
        </w:numPr>
      </w:pPr>
      <w:r>
        <w:t xml:space="preserve">99.1% of baseline results are now scored (previously 50.5%);</w:t>
      </w:r>
    </w:p>
    <w:p>
      <w:pPr>
        <w:pStyle w:val="Compact"/>
        <w:numPr>
          <w:ilvl w:val="0"/>
          <w:numId w:val="1004"/>
        </w:numPr>
      </w:pPr>
      <w:r>
        <w:t xml:space="preserve">baseline Tyrving is missing for 2 athletes (0.1%), both without registered sex, instead of 419 (19.7%);</w:t>
      </w:r>
    </w:p>
    <w:p>
      <w:pPr>
        <w:pStyle w:val="Compact"/>
        <w:numPr>
          <w:ilvl w:val="0"/>
          <w:numId w:val="1004"/>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5"/>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5"/>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5"/>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6"/>
        </w:numPr>
      </w:pPr>
      <w:r>
        <w:t xml:space="preserve">pooled estimates were essentially unchanged (volume OR 2.34 [2.07, 2.66] vs. 2.40 complete-case);</w:t>
      </w:r>
    </w:p>
    <w:p>
      <w:pPr>
        <w:pStyle w:val="Compact"/>
        <w:numPr>
          <w:ilvl w:val="0"/>
          <w:numId w:val="1006"/>
        </w:numPr>
      </w:pPr>
      <w:r>
        <w:t xml:space="preserve">predictive performance was the same as complete-case (CV-AUC 0.751, range 0.745–0.755 across imputations, vs. 0.753; both over 20 cross-validation splits).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They are excluded from all models that adjust for sex (complete-case on sex), apart from a mean-imputation check of the post-baseline Cox model (Table S5) that keeps every athlete, and are included in cohort totals and full-cohort descriptive analyses; they cannot receive Tyrving scores, because the norms are sex-specific (Section 2.4.5; Supplementary Methods S-M3). Since our extraction, a register-wide correction of sex coding has resolved 22 of the 24, and the revised analyses use the corrected values: among the athletes whose sex was recoded or became known, all 24 whose sex-specific implements indicate a sex agree with the corrected value. Only 2 athletes remain without registered sex. In the submitted data, a sensitivity model retaining the 24 as a separate category gave the same volume OR as excluding them (2.37 vs. 2.36).</w:t>
      </w:r>
    </w:p>
    <w:p>
      <w:pPr>
        <w:pStyle w:val="BodyText"/>
      </w:pPr>
      <w:r>
        <w:rPr>
          <w:i/>
          <w:iCs/>
        </w:rPr>
        <w:t xml:space="preserve">Changes:</w:t>
      </w:r>
      <w:r>
        <w:t xml:space="preserve"> </w:t>
      </w:r>
      <w:r>
        <w:t xml:space="preserve">Section 2.4.5; Supplementary Methods S-M3 and S-M12; Tables 1, S5, S12, S25;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7"/>
        </w:numPr>
      </w:pPr>
      <w:r>
        <w:t xml:space="preserve">Q1/Q4 indicators among athletes with known quarter;</w:t>
      </w:r>
    </w:p>
    <w:p>
      <w:pPr>
        <w:pStyle w:val="Compact"/>
        <w:numPr>
          <w:ilvl w:val="0"/>
          <w:numId w:val="1007"/>
        </w:numPr>
      </w:pPr>
      <w:r>
        <w:t xml:space="preserve">full coding (Q2, Q3, Q4 vs. Q1);</w:t>
      </w:r>
    </w:p>
    <w:p>
      <w:pPr>
        <w:pStyle w:val="Compact"/>
        <w:numPr>
          <w:ilvl w:val="0"/>
          <w:numId w:val="1007"/>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8"/>
        </w:numPr>
      </w:pPr>
      <w:r>
        <w:t xml:space="preserve">OR = 0.44 [0.38, 0.50] for a one-SD (about 6.4 meets) greater decline;</w:t>
      </w:r>
    </w:p>
    <w:p>
      <w:pPr>
        <w:pStyle w:val="Compact"/>
        <w:numPr>
          <w:ilvl w:val="0"/>
          <w:numId w:val="1008"/>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 Given the later level, the earlier one adds little (OR 0.98 per meet [0.95, 1.00], p = .06), so the text now says that level and change both predict retention, not that they contribute independently.</w:t>
      </w:r>
    </w:p>
    <w:p>
      <w:pPr>
        <w:pStyle w:val="BodyText"/>
      </w:pPr>
      <w:r>
        <w:rPr>
          <w:i/>
          <w:iCs/>
        </w:rPr>
        <w:t xml:space="preserve">Changes:</w:t>
      </w:r>
      <w:r>
        <w:t xml:space="preserve"> </w:t>
      </w:r>
      <w:r>
        <w:t xml:space="preserve">Abstract; Sections 2.5.3, 3.5, 4.3, 4.8 and 4.11;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measured as 1 + meets, was below each athlete’s own earlier level by:</w:t>
      </w:r>
    </w:p>
    <w:p>
      <w:pPr>
        <w:pStyle w:val="Compact"/>
        <w:numPr>
          <w:ilvl w:val="0"/>
          <w:numId w:val="1009"/>
        </w:numPr>
      </w:pPr>
      <w:r>
        <w:t xml:space="preserve">7% (95% CI 0–13%) three seasons before the final active season;</w:t>
      </w:r>
    </w:p>
    <w:p>
      <w:pPr>
        <w:pStyle w:val="Compact"/>
        <w:numPr>
          <w:ilvl w:val="0"/>
          <w:numId w:val="1009"/>
        </w:numPr>
      </w:pPr>
      <w:r>
        <w:t xml:space="preserve">12% (5–19%) two seasons before;</w:t>
      </w:r>
    </w:p>
    <w:p>
      <w:pPr>
        <w:pStyle w:val="Compact"/>
        <w:numPr>
          <w:ilvl w:val="0"/>
          <w:numId w:val="1009"/>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T−2: −9%, p = .081;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Abstract; Sections 2.5.3, 3.5, 4.1, 4.3, 4.4, 4.9, 4.11; Supplementary Methods S-M6; Tables S12 and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for the level-and-change models (Section 3.5, Table 4, Table S14), labelled as such. With performance correctly scored (Comment 4), the comparison has also changed in substance. Volume still discriminates somewhat better than performance at the baseline meet, but the two carry complementary information, and with its within-baseline trajectory performance does not differ from volume (Comment 10). Section 4.2 is therefore retitled</w:t>
      </w:r>
      <w:r>
        <w:t xml:space="preserve"> </w:t>
      </w:r>
      <w:r>
        <w:t xml:space="preserve">“Competition volume and performance carry complementary information”</w:t>
      </w:r>
      <w:r>
        <w:t xml:space="preserve">, and Hypothesis 2 is described as partially supported: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the CV-AUC of every model in Table 3 and for the differences between models that the text discusses (Table S27). Differences between models are estimated on identical folds, with CIs and p-values from the corrected resampled t-statistic for repeated cross-validation (Nadeau &amp; Bengio, 2003; Supplementary Methods S-M4; Table S27).</w:t>
      </w:r>
    </w:p>
    <w:p>
      <w:pPr>
        <w:pStyle w:val="Compact"/>
        <w:numPr>
          <w:ilvl w:val="0"/>
          <w:numId w:val="1010"/>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0"/>
        </w:numPr>
      </w:pPr>
      <w:r>
        <w:rPr>
          <w:b/>
          <w:bCs/>
        </w:rPr>
        <w:t xml:space="preserve">Volume versus Tyrving at the baseline meet (both from ages 13–14):</w:t>
      </w:r>
      <w:r>
        <w:t xml:space="preserve"> </w:t>
      </w:r>
      <w:r>
        <w:t xml:space="preserve">+0.040 (0.006 to 0.074), a modest advantage for volume.</w:t>
      </w:r>
    </w:p>
    <w:p>
      <w:pPr>
        <w:pStyle w:val="Compact"/>
        <w:numPr>
          <w:ilvl w:val="0"/>
          <w:numId w:val="1010"/>
        </w:numPr>
      </w:pPr>
      <w:r>
        <w:rPr>
          <w:b/>
          <w:bCs/>
        </w:rPr>
        <w:t xml:space="preserve">Adding volume to sex + Tyrving + HHI:</w:t>
      </w:r>
      <w:r>
        <w:t xml:space="preserve"> </w:t>
      </w:r>
      <w:r>
        <w:t xml:space="preserve">+0.069 (0.047 to 0.091).</w:t>
      </w:r>
    </w:p>
    <w:p>
      <w:pPr>
        <w:pStyle w:val="Compact"/>
        <w:numPr>
          <w:ilvl w:val="0"/>
          <w:numId w:val="1010"/>
        </w:numPr>
      </w:pPr>
      <w:r>
        <w:rPr>
          <w:b/>
          <w:bCs/>
        </w:rPr>
        <w:t xml:space="preserve">Performance with its within-baseline trajectory</w:t>
      </w:r>
      <w:r>
        <w:t xml:space="preserve"> </w:t>
      </w:r>
      <w:r>
        <w:t xml:space="preserve">does not differ from volume: −0.001 (−0.042 to 0.039).</w:t>
      </w:r>
    </w:p>
    <w:p>
      <w:pPr>
        <w:pStyle w:val="Compact"/>
        <w:numPr>
          <w:ilvl w:val="0"/>
          <w:numId w:val="1010"/>
        </w:numPr>
      </w:pPr>
      <w:r>
        <w:rPr>
          <w:b/>
          <w:bCs/>
        </w:rPr>
        <w:t xml:space="preserve">A within-event rank at the baseline meet</w:t>
      </w:r>
      <w:r>
        <w:t xml:space="preserve">, which removes Tyrving’s unequal demands across event groups, discriminates no better than Tyrving (0.689 vs. 0.700; difference 0.011 [−0.006, 0.028]); volume again discriminates better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1"/>
        </w:numPr>
      </w:pPr>
      <w:r>
        <w:rPr>
          <w:b/>
          <w:bCs/>
        </w:rPr>
        <w:t xml:space="preserve">Capacity rule</w:t>
      </w:r>
      <w:r>
        <w:t xml:space="preserve"> </w:t>
      </w:r>
      <w:r>
        <w:t xml:space="preserve">(fixed before the cohorts were compared: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1"/>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the thresholds have not been externally validated (Section 4.9; Supplementary Methods S-M9).</w:t>
      </w:r>
    </w:p>
    <w:p>
      <w:pPr>
        <w:pStyle w:val="BodyText"/>
      </w:pPr>
      <w:r>
        <w:rPr>
          <w:i/>
          <w:iCs/>
        </w:rPr>
        <w:t xml:space="preserve">Changes:</w:t>
      </w:r>
      <w:r>
        <w:t xml:space="preserve"> </w:t>
      </w:r>
      <w:r>
        <w:t xml:space="preserve">Abstract; 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2"/>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2"/>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2"/>
        </w:numPr>
      </w:pPr>
      <w:r>
        <w:rPr>
          <w:b/>
          <w:bCs/>
        </w:rPr>
        <w:t xml:space="preserve">Alternative causes:</w:t>
      </w:r>
      <w:r>
        <w:t xml:space="preserve"> </w:t>
      </w:r>
      <w:r>
        <w:t xml:space="preserve">we state explicitly that a decline can also reflect injury, a move to another sport, or school and other time constraints (Sections 2.4.4 and 4.2; Figure 1 and its caption).</w:t>
      </w:r>
    </w:p>
    <w:p>
      <w:pPr>
        <w:pStyle w:val="FirstParagraph"/>
      </w:pPr>
      <w:r>
        <w:rPr>
          <w:i/>
          <w:iCs/>
        </w:rPr>
        <w:t xml:space="preserve">Changes:</w:t>
      </w:r>
      <w:r>
        <w:t xml:space="preserve"> </w:t>
      </w:r>
      <w:r>
        <w:t xml:space="preserve">Title; running title; Abstract; Sections 1.3, 2.4.4, 3.5, 4.2, 4.3; Figure 1 and its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3"/>
        </w:numPr>
      </w:pPr>
      <w:r>
        <w:t xml:space="preserve">the cohort comprises 29% of all athletes;</w:t>
      </w:r>
    </w:p>
    <w:p>
      <w:pPr>
        <w:pStyle w:val="Compact"/>
        <w:numPr>
          <w:ilvl w:val="0"/>
          <w:numId w:val="1013"/>
        </w:numPr>
      </w:pPr>
      <w:r>
        <w:t xml:space="preserve">but 80% of those with ten or more meets at those ages, and 80% of all who later competed as seniors;</w:t>
      </w:r>
    </w:p>
    <w:p>
      <w:pPr>
        <w:pStyle w:val="Compact"/>
        <w:numPr>
          <w:ilvl w:val="0"/>
          <w:numId w:val="1013"/>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4"/>
        </w:numPr>
      </w:pPr>
      <w:r>
        <w:t xml:space="preserve">11.8% of athletes had an inactive season followed by a return;</w:t>
      </w:r>
    </w:p>
    <w:p>
      <w:pPr>
        <w:pStyle w:val="Compact"/>
        <w:numPr>
          <w:ilvl w:val="0"/>
          <w:numId w:val="1014"/>
        </w:numPr>
      </w:pPr>
      <w:r>
        <w:t xml:space="preserve">4.4% had a gap of two or more seasons followed by a return;</w:t>
      </w:r>
    </w:p>
    <w:p>
      <w:pPr>
        <w:pStyle w:val="Compact"/>
        <w:numPr>
          <w:ilvl w:val="0"/>
          <w:numId w:val="1014"/>
        </w:numPr>
      </w:pPr>
      <w:r>
        <w:t xml:space="preserve">of athletes with an active season in 2019 or earlier followed by two missed seasons,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6,352</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2026-10-03T17:30:16Z</dcterms:created>
  <dcterms:modified xsi:type="dcterms:W3CDTF">2026-10-03T17:30:16Z</dcterms:modified>
</cp:coreProperties>
</file>

<file path=docProps/custom.xml><?xml version="1.0" encoding="utf-8"?>
<Properties xmlns="http://schemas.openxmlformats.org/officeDocument/2006/custom-properties" xmlns:vt="http://schemas.openxmlformats.org/officeDocument/2006/docPropsVTypes"/>
</file>