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 Declining competition participation 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 Tables S10 and S16) contains a baseline-only predictor set;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 We additionally estimated (a) a landmark analysis (van Houwelingen, 2007) restricted to athletes still in their career at age 16, that is, with a final active season at 16 or later (n = 1,148, complete-case n = 1,147; Supplementary Table S8), and (b) a post-baseline Cox specification with ages-15–16 covariates (Table 5 gives the period-specific decomposition; Supplementary Figure S4 gives its forest plot, and Supplementary Table S6 the HHI-stratified variant); the latter is interpreted with caveats about operational overlap between predictor and outcome windows. Two properties of the landmark analysis deserve note. First, the at-risk set excludes athletes who had already exited; the earlier entry rule (≥1 result at 16) admitted 71 athletes whose final active season was before 16, whose events therefore preceded time zero. Second, follow-up time is measured from age 16, so the age-16 portion of the exposure window (volume at ages 15–16) lies at the very start of the at-risk window; the version of the same question without this overlap is therefore the logistic change model of main-text Section 3.5 (level at 15 + change 15→16 among athletes active at 16, outcome at 20+), although 16 was the final active season for a quarter of these athletes.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 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 1,747 events in the baseline-only Cox model (clock from the end of the age-14 season) at α = .05 and 80% power yield HR_min ≈ 1.07 per SD (≈ 1.14 for a balanced binary covariate); the omitted variance-inflation factor for covariate correlation would move this only trivially (to ≈ 1.07–1.08 at ρ ≈ .3–.45). For the primary logistic analysis (n = 2,136, 347 retainers), the normal-covariate approximation gives a minimum detectable odds ratio of ≈ 1.18 per SD at 80% power (a simulation with 300 replicates per grid point places it between 1.15 and 1.20; Supplementary Table S4).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 Performance scoring, missing data, multiple imputation, and athletes without registered sex</w:t>
      </w:r>
    </w:p>
    <w:p>
      <w:pPr>
        <w:pStyle w:val="FirstParagraph"/>
      </w:pPr>
      <w:r>
        <w:rPr>
          <w:i/>
          <w:iCs/>
        </w:rPr>
        <w:t xml:space="preserve">Tyrving scoring.</w:t>
      </w:r>
      <w:r>
        <w:t xml:space="preserve"> </w:t>
      </w:r>
      <w:r>
        <w:t xml:space="preserve">Every result is scored when its event and implement or hurdle specification match a row of the Tyrving table (the Norwegian Athletics Federation’s workbook,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With this scoring, 99.1% of baseline-meet results receive a score; none reaches the 1,500-point cap.</w:t>
      </w:r>
    </w:p>
    <w:p>
      <w:pPr>
        <w:pStyle w:val="BodyText"/>
      </w:pPr>
      <w:r>
        <w:rPr>
          <w:i/>
          <w:iCs/>
        </w:rPr>
        <w:t xml:space="preserve">Missing data.</w:t>
      </w:r>
      <w:r>
        <w:t xml:space="preserve"> </w:t>
      </w:r>
      <w: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i/>
          <w:iCs/>
        </w:rPr>
        <w:t xml:space="preserve">Athletes without registered sex.</w:t>
      </w:r>
      <w:r>
        <w:t xml:space="preserve"> </w:t>
      </w:r>
      <w:r>
        <w:t xml:space="preserve">The register records sex as a binary variable. In the submitted data 24 cohort athletes had none; after the register-wide correction of sex coding in July 2026, 2 (0.1%) remain. They are excluded from all models that adjust for sex (except the mean-imputation check of the post-baseline Cox model in Supplementary Table S5, which keeps every athlete and, as in the submission, codes them as male) and from Tyrving scoring, but included in cohort totals, the fixed-effects model (which has no sex term) and the full-cohort descriptive analyses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 Cross-validation, calibration, and comparison of discrimination</w:t>
      </w:r>
    </w:p>
    <w:p>
      <w:pPr>
        <w:pStyle w:val="FirstParagraph"/>
      </w:pPr>
      <w:r>
        <w:t xml:space="preserve">Cross-validation in the primary and all new analyses uses stratified 5-fold splits repeated 20 times with different seeds (Supplementary Tables S9, S17 and S24, re-runs of the original scripts, keep the submission’s single split, as their notes state);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(16.3%), the primary odds ratio is first converted to an approximate risk ratio via RR ≈ √OR before applying E = RR + √(RR(RR − 1)): OR 2.04 → RR ≈ 1.43 → E ≈ 2.2 (CI bound 2.0). The baseline-only Cox hazard ratio (0.65 per SD, time zero at the end of age 14) is converted with the common-outcome formula RR ≈ (1 − 0.5^√HR)/(1 − 0.5^√(1/HR)), inverted because the association is protective, giving E ≈ 2.0 (CI bound 1.9).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 and the within-athlete fixed-effects model</w:t>
      </w:r>
    </w:p>
    <w:p>
      <w:pPr>
        <w:pStyle w:val="FirstParagraph"/>
      </w:pPr>
      <w:r>
        <w:t xml:space="preserve">To test the within-athlete decline claim at the individual level, each dropout’s volume history was aligned to their own final active season (last calendar year with ≥2 results). For dropouts with final seasons at ages 15–19 (n = 1,146; ages outside 13–19 are unobserved in the per-age panel), we report median volumes at T−3, T−2, T−1, and T, the share still competing (&gt;0 meets) in the penultimate season, and, among dropouts with final seasons at 16+ (n = 800, for whom at least one season precedes the penultimate), the share whose penultimate-season volume was reduced but nonzero relative to their earlier personal peak, at their peak (abrupt profile), or zero (gap year). The change model among athletes still active at 16 is a logistic regression among athletes with ≥2 results at age 16 (n = 1,088): active senior status on sex, volume at age 15 (per SD), and change in volume from 15 to 16 (per SD; volume at 16 minus volume at 15). All predictors are measured by age 16 and every athlete in the sample is, by construction, still active when measured, although for 269 of them 16 was the final active season; the outcome window begins at age 20. 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i/>
          <w:iCs/>
        </w:rPr>
        <w:t xml:space="preserve">Fixed-effects model.</w:t>
      </w:r>
      <w:r>
        <w:t xml:space="preserve"> </w:t>
      </w:r>
      <w: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now by maximum likelihood with the club intercepts integrated out by Gauss–Hermite quadrature (40 nodes; the submission used a variational Bayes approximation, which understates uncertainty), with a likelihood-ratio test of no club variation (p-value halved for the boundary), Supplementary Table S22. The model was also estimated with club-clustered (sandwich) standard errors and as a population-averaged model (generalized estimating equations with an exchangeable correlation within baseline clubs). Club fixed effects were estimated by conditional logistic regression with the baseline club as stratum; only clubs with both retained and non-retained athletes contribute (127 clubs, 1,698 athletes). Club-grouped cross-validation is described in S-M4.</w:t>
      </w:r>
    </w:p>
    <w:bookmarkEnd w:id="16"/>
    <w:bookmarkStart w:id="17" w:name="X0f49788f2b08e3dd81aaf7b2a9d7b342019f416"/>
    <w:p>
      <w:pPr>
        <w:pStyle w:val="Heading2"/>
      </w:pPr>
      <w:r>
        <w:t xml:space="preserve">S-M8. HHI window, count-dependence stress tests, and combined events</w:t>
      </w:r>
    </w:p>
    <w:p>
      <w:pPr>
        <w:pStyle w:val="FirstParagraph"/>
      </w:pPr>
      <w: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 Because HHI ≥ 1/n for an athlete with n results, low result counts mechanically inflate apparent concentration. Three checks (Supplementary Table S20): Spearman correlations of HHI with result and meet counts at ages 13–14; refits of the primary model restricted to athletes with ≥5 and ≥8 results at ages 13–14; and a refit replacing HHI with the finite-sample-corrected index HHI* = (HHI − 1/n)/(1 − 1/n).</w:t>
      </w:r>
    </w:p>
    <w:bookmarkEnd w:id="17"/>
    <w:bookmarkStart w:id="18" w:name="X9a7c30373467ed74cde1fc49ce9ad1eff70b5c9"/>
    <w:p>
      <w:pPr>
        <w:pStyle w:val="Heading2"/>
      </w:pPr>
      <w:r>
        <w:t xml:space="preserve">S-M9. Derivation and validation of early-warning thresholds across birth cohorts</w:t>
      </w:r>
    </w:p>
    <w:p>
      <w:pPr>
        <w:pStyle w:val="FirstParagraph"/>
      </w:pPr>
      <w:r>
        <w:t xml:space="preserve">Because the candidate threshold (&lt; 10 meets) was chosen in the pooled data, cut-offs were also derived in one birth cohort and evaluated, unchanged, in the other (Supplementary Table S29). Two derivation rules, fixed before the cohorts were compared,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t xml:space="preserve">S-M10. Temporary gaps, returns, and alternative event definitions</w:t>
      </w:r>
    </w:p>
    <w:p>
      <w:pPr>
        <w:pStyle w:val="FirstParagraph"/>
      </w:pPr>
      <w: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with an active season in 2019 or earlier followed by two missed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t xml:space="preserve">S-M11. The cohort within the register population</w:t>
      </w:r>
    </w:p>
    <w:p>
      <w:pPr>
        <w:pStyle w:val="FirstParagraph"/>
      </w:pPr>
      <w: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For cohort members the register counts agree closely with the analysis data (mean 20.4 vs. 20.5 meets; senior retention 15.9% vs. 16.3%); the small differences reflect rows re-registered after the extraction, which the analysis data retain from the original extract. The sex-adjusted association between volume and senior status was estimated per 10 meets, with repeated cross-validated AUC.</w:t>
      </w:r>
    </w:p>
    <w:bookmarkEnd w:id="20"/>
    <w:bookmarkStart w:id="21" w:name="X845eb84bfd1c59a3ef52f92cd7d77122fb4ff05"/>
    <w:p>
      <w:pPr>
        <w:pStyle w:val="Heading2"/>
      </w:pPr>
      <w:r>
        <w:t xml:space="preserve">S-M12. Data preparation and corrections made during the revision</w:t>
      </w:r>
    </w:p>
    <w:p>
      <w:pPr>
        <w:pStyle w:val="FirstParagraph"/>
      </w:pPr>
      <w:r>
        <w:t xml:space="preserve">Before the revision we audited the data pipeline, re-deriving every variable from the register; the original analysis file was exactly reproducible from the original extract. The following corrections were made:</w:t>
      </w:r>
    </w:p>
    <w:p>
      <w:pPr>
        <w:pStyle w:val="Compact"/>
        <w:numPr>
          <w:ilvl w:val="0"/>
          <w:numId w:val="1001"/>
        </w:numPr>
      </w:pPr>
      <w:r>
        <w:t xml:space="preserve">Extraction: a deterministic re-extraction added 334 results missed by the original pagination and removed 332 duplicates.</w:t>
      </w:r>
    </w:p>
    <w:p>
      <w:pPr>
        <w:pStyle w:val="Compact"/>
        <w:numPr>
          <w:ilvl w:val="0"/>
          <w:numId w:val="1001"/>
        </w:numPr>
      </w:pPr>
      <w: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t xml:space="preserve">Follow-up: results from the partial 2026 season were removed.</w:t>
      </w:r>
    </w:p>
    <w:p>
      <w:pPr>
        <w:pStyle w:val="Compact"/>
        <w:numPr>
          <w:ilvl w:val="0"/>
          <w:numId w:val="1001"/>
        </w:numPr>
      </w:pPr>
      <w:r>
        <w:t xml:space="preserve">Sex: register values after its July 2026 correction (S-M3).</w:t>
      </w:r>
    </w:p>
    <w:p>
      <w:pPr>
        <w:pStyle w:val="Compact"/>
        <w:numPr>
          <w:ilvl w:val="0"/>
          <w:numId w:val="1001"/>
        </w:numPr>
      </w:pPr>
      <w: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t xml:space="preserve">Volume: counted as competition days, so that one day’s results filed under two meet records count once.</w:t>
      </w:r>
    </w:p>
    <w:p>
      <w:pPr>
        <w:pStyle w:val="Compact"/>
        <w:numPr>
          <w:ilvl w:val="0"/>
          <w:numId w:val="1001"/>
        </w:numPr>
      </w:pPr>
      <w:r>
        <w:t xml:space="preserve">Tyrving: events registered with their implement or hurdle specification (throws, hurdles, zone jumps, race walking), which the submitted scoring left unscored, are now scored (missing baseline Tyrving 19.7% → 0.1%), with the workbook’s own formulas for 600 m and longer races, race walking, throws and pole vault (S-M3).</w:t>
      </w:r>
    </w:p>
    <w:p>
      <w:pPr>
        <w:pStyle w:val="Compact"/>
        <w:numPr>
          <w:ilvl w:val="0"/>
          <w:numId w:val="1001"/>
        </w:numPr>
      </w:pPr>
      <w:r>
        <w:t xml:space="preserve">Championship types (post-baseline models only): a type is counted when the athlete has a result before age 17 at a meet whose name identifies it as a district (KM, DM, FM), youth-national (UM), junior-national or senior-national championship, in an age class open to the athlete. National championships are open from age 15; at national combined-events championships athletes under 17 compete in youth classes (counted as youth-national); a district championship named for some age classes (e.g. </w:t>
      </w:r>
      <w:r>
        <w:t xml:space="preserve">“11–14 år”</w:t>
      </w:r>
      <w:r>
        <w:t xml:space="preserve">, senior) counts only for those ages (an age range of another event held alongside, such as a karusell or indoor games, does not restrict it). Not counted: relay championships (individual results there are side events), qualification, preparation, unofficial and test meets, veterans’ and school championships, meets abroad, and multi-district regional championships (e.g. North Norwegian). The submitted coding matched</w:t>
      </w:r>
      <w:r>
        <w:t xml:space="preserve"> </w:t>
      </w:r>
      <w:r>
        <w:t xml:space="preserve">“UM”</w:t>
      </w:r>
      <w:r>
        <w:t xml:space="preserve"> </w:t>
      </w:r>
      <w:r>
        <w:t xml:space="preserve">as letters anywhere in a meet name (e.g. Bærum, Jubileumsstevne), counted</w:t>
      </w:r>
      <w:r>
        <w:t xml:space="preserve"> </w:t>
      </w:r>
      <w:r>
        <w:t xml:space="preserve">“Junior-NM”</w:t>
      </w:r>
      <w:r>
        <w:t xml:space="preserve"> </w:t>
      </w:r>
      <w:r>
        <w:t xml:space="preserve">as a senior championship, and counted the excluded meets. Every matched meet name was read; corrected, the count changed for 360 athletes. For 10 athletes the district type rests only on meets with embedded district-championship events (</w:t>
      </w:r>
      <w:r>
        <w:t xml:space="preserve">“innlagt KM”</w:t>
      </w:r>
      <w:r>
        <w:t xml:space="preserve">), at which they may have entered other events.</w:t>
      </w:r>
    </w:p>
    <w:p>
      <w:pPr>
        <w:pStyle w:val="Compact"/>
        <w:numPr>
          <w:ilvl w:val="0"/>
          <w:numId w:val="1001"/>
        </w:numPr>
      </w:pPr>
      <w: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t xml:space="preserve">Nadeau, C., &amp; Bengio, Y. (2003). Inference for the generalization error.</w:t>
      </w:r>
      <w:r>
        <w:t xml:space="preserve"> </w:t>
      </w:r>
      <w:r>
        <w:rPr>
          <w:i/>
          <w:iCs/>
        </w:rPr>
        <w:t xml:space="preserve">Machine Learning, 52</w:t>
      </w:r>
      <w: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t xml:space="preserve">2.66</w:t>
            </w:r>
          </w:p>
        </w:tc>
        <w:tc>
          <w:tcPr/>
          <w:p>
            <w:pPr>
              <w:pStyle w:val="Compact"/>
            </w:pPr>
            <w:r>
              <w:t xml:space="preserve">.103</w:t>
            </w:r>
          </w:p>
        </w:tc>
      </w:tr>
      <w:tr>
        <w:tc>
          <w:tcPr/>
          <w:p>
            <w:pPr>
              <w:pStyle w:val="Compact"/>
            </w:pPr>
            <w:r>
              <w:t xml:space="preserve">Tyrving (z)</w:t>
            </w:r>
          </w:p>
        </w:tc>
        <w:tc>
          <w:tcPr/>
          <w:p>
            <w:pPr>
              <w:pStyle w:val="Compact"/>
            </w:pPr>
            <w:r>
              <w:t xml:space="preserve">0.01</w:t>
            </w:r>
          </w:p>
        </w:tc>
        <w:tc>
          <w:tcPr/>
          <w:p>
            <w:pPr>
              <w:pStyle w:val="Compact"/>
            </w:pPr>
            <w:r>
              <w:t xml:space="preserve">.940</w:t>
            </w:r>
          </w:p>
        </w:tc>
      </w:tr>
      <w:tr>
        <w:tc>
          <w:tcPr/>
          <w:p>
            <w:pPr>
              <w:pStyle w:val="Compact"/>
            </w:pPr>
            <w:r>
              <w:t xml:space="preserve">HHI, ages 13–14 (z)</w:t>
            </w:r>
          </w:p>
        </w:tc>
        <w:tc>
          <w:tcPr/>
          <w:p>
            <w:pPr>
              <w:pStyle w:val="Compact"/>
            </w:pPr>
            <w:r>
              <w:t xml:space="preserve">12.46</w:t>
            </w:r>
          </w:p>
        </w:tc>
        <w:tc>
          <w:tcPr/>
          <w:p>
            <w:pPr>
              <w:pStyle w:val="Compact"/>
            </w:pPr>
            <w:r>
              <w:t xml:space="preserve">&lt; .001</w:t>
            </w:r>
          </w:p>
        </w:tc>
      </w:tr>
      <w:tr>
        <w:tc>
          <w:tcPr/>
          <w:p>
            <w:pPr>
              <w:pStyle w:val="Compact"/>
            </w:pPr>
            <w:r>
              <w:t xml:space="preserve">Volume at age 15–16 (z)</w:t>
            </w:r>
          </w:p>
        </w:tc>
        <w:tc>
          <w:tcPr/>
          <w:p>
            <w:pPr>
              <w:pStyle w:val="Compact"/>
            </w:pPr>
            <w:r>
              <w:t xml:space="preserve">263.12</w:t>
            </w:r>
          </w:p>
        </w:tc>
        <w:tc>
          <w:tcPr/>
          <w:p>
            <w:pPr>
              <w:pStyle w:val="Compact"/>
            </w:pPr>
            <w:r>
              <w:t xml:space="preserve">&lt; .001</w:t>
            </w:r>
          </w:p>
        </w:tc>
      </w:tr>
      <w:tr>
        <w:tc>
          <w:tcPr/>
          <w:p>
            <w:pPr>
              <w:pStyle w:val="Compact"/>
            </w:pPr>
            <w:r>
              <w:t xml:space="preserve">Championship types</w:t>
            </w:r>
          </w:p>
        </w:tc>
        <w:tc>
          <w:tcPr/>
          <w:p>
            <w:pPr>
              <w:pStyle w:val="Compact"/>
            </w:pPr>
            <w:r>
              <w:t xml:space="preserve">8.14</w:t>
            </w:r>
          </w:p>
        </w:tc>
        <w:tc>
          <w:tcPr/>
          <w:p>
            <w:pPr>
              <w:pStyle w:val="Compact"/>
            </w:pPr>
            <w:r>
              <w:t xml:space="preserve">.004</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t xml:space="preserve">1.16</w:t>
            </w:r>
          </w:p>
        </w:tc>
        <w:tc>
          <w:tcPr/>
          <w:p>
            <w:pPr>
              <w:pStyle w:val="Compact"/>
            </w:pPr>
            <w:r>
              <w:t xml:space="preserve">[1.03, 1.31]</w:t>
            </w:r>
          </w:p>
        </w:tc>
        <w:tc>
          <w:tcPr/>
          <w:p>
            <w:pPr>
              <w:pStyle w:val="Compact"/>
            </w:pPr>
            <w:r>
              <w:t xml:space="preserve">.016</w:t>
            </w:r>
          </w:p>
        </w:tc>
      </w:tr>
      <w:tr>
        <w:tc>
          <w:tcPr/>
          <w:p>
            <w:pPr>
              <w:pStyle w:val="Compact"/>
            </w:pPr>
            <w:r>
              <w:t xml:space="preserve">Tyrving (z)</w:t>
            </w:r>
          </w:p>
        </w:tc>
        <w:tc>
          <w:tcPr/>
          <w:p>
            <w:pPr>
              <w:pStyle w:val="Compact"/>
            </w:pPr>
            <w:r>
              <w:t xml:space="preserve">0.92</w:t>
            </w:r>
          </w:p>
        </w:tc>
        <w:tc>
          <w:tcPr/>
          <w:p>
            <w:pPr>
              <w:pStyle w:val="Compact"/>
            </w:pPr>
            <w:r>
              <w:t xml:space="preserve">[0.86, 0.98]</w:t>
            </w:r>
          </w:p>
        </w:tc>
        <w:tc>
          <w:tcPr/>
          <w:p>
            <w:pPr>
              <w:pStyle w:val="Compact"/>
            </w:pPr>
            <w:r>
              <w:t xml:space="preserve">.009</w:t>
            </w:r>
          </w:p>
        </w:tc>
      </w:tr>
      <w:tr>
        <w:tc>
          <w:tcPr/>
          <w:p>
            <w:pPr>
              <w:pStyle w:val="Compact"/>
            </w:pPr>
            <w:r>
              <w:t xml:space="preserve">HHI, ages 13–14 (z)</w:t>
            </w:r>
          </w:p>
        </w:tc>
        <w:tc>
          <w:tcPr/>
          <w:p>
            <w:pPr>
              <w:pStyle w:val="Compact"/>
            </w:pPr>
            <w:r>
              <w:t xml:space="preserve">0.97</w:t>
            </w:r>
          </w:p>
        </w:tc>
        <w:tc>
          <w:tcPr/>
          <w:p>
            <w:pPr>
              <w:pStyle w:val="Compact"/>
            </w:pPr>
            <w:r>
              <w:t xml:space="preserve">[0.92, 1.04]</w:t>
            </w:r>
          </w:p>
        </w:tc>
        <w:tc>
          <w:tcPr/>
          <w:p>
            <w:pPr>
              <w:pStyle w:val="Compact"/>
            </w:pPr>
            <w:r>
              <w:t xml:space="preserve">.400</w:t>
            </w:r>
          </w:p>
        </w:tc>
      </w:tr>
      <w:tr>
        <w:tc>
          <w:tcPr/>
          <w:p>
            <w:pPr>
              <w:pStyle w:val="Compact"/>
            </w:pPr>
            <w:r>
              <w:t xml:space="preserve">Volume at age 15–16 (z)</w:t>
            </w:r>
          </w:p>
        </w:tc>
        <w:tc>
          <w:tcPr/>
          <w:p>
            <w:pPr>
              <w:pStyle w:val="Compact"/>
            </w:pPr>
            <w:r>
              <w:t xml:space="preserve">0.48</w:t>
            </w:r>
          </w:p>
        </w:tc>
        <w:tc>
          <w:tcPr/>
          <w:p>
            <w:pPr>
              <w:pStyle w:val="Compact"/>
            </w:pPr>
            <w:r>
              <w:t xml:space="preserve">[0.43, 0.54]</w:t>
            </w:r>
          </w:p>
        </w:tc>
        <w:tc>
          <w:tcPr/>
          <w:p>
            <w:pPr>
              <w:pStyle w:val="Compact"/>
            </w:pPr>
            <w:r>
              <w:t xml:space="preserve">&lt; .001</w:t>
            </w:r>
          </w:p>
        </w:tc>
      </w:tr>
      <w:tr>
        <w:tc>
          <w:tcPr/>
          <w:p>
            <w:pPr>
              <w:pStyle w:val="Compact"/>
            </w:pPr>
            <w:r>
              <w:t xml:space="preserve">Championship types</w:t>
            </w:r>
          </w:p>
        </w:tc>
        <w:tc>
          <w:tcPr/>
          <w:p>
            <w:pPr>
              <w:pStyle w:val="Compact"/>
            </w:pPr>
            <w:r>
              <w:t xml:space="preserve">0.70</w:t>
            </w:r>
          </w:p>
        </w:tc>
        <w:tc>
          <w:tcPr/>
          <w:p>
            <w:pPr>
              <w:pStyle w:val="Compact"/>
            </w:pPr>
            <w:r>
              <w:t xml:space="preserve">[0.64, 0.76]</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 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t xml:space="preserve">OR 2.04 [1.80, 2.32]</w:t>
            </w:r>
          </w:p>
        </w:tc>
        <w:tc>
          <w:tcPr/>
          <w:p>
            <w:pPr>
              <w:pStyle w:val="Compact"/>
            </w:pPr>
            <w:r>
              <w:t xml:space="preserve">1.43</w:t>
            </w:r>
          </w:p>
        </w:tc>
        <w:tc>
          <w:tcPr/>
          <w:p>
            <w:pPr>
              <w:pStyle w:val="Compact"/>
            </w:pPr>
            <w:r>
              <w:t xml:space="preserve">2.21</w:t>
            </w:r>
          </w:p>
        </w:tc>
        <w:tc>
          <w:tcPr/>
          <w:p>
            <w:pPr>
              <w:pStyle w:val="Compact"/>
            </w:pPr>
            <w:r>
              <w:t xml:space="preserve">2.02</w:t>
            </w:r>
          </w:p>
        </w:tc>
      </w:tr>
      <w:tr>
        <w:tc>
          <w:tcPr/>
          <w:p>
            <w:pPr>
              <w:pStyle w:val="Compact"/>
            </w:pPr>
            <w:r>
              <w:t xml:space="preserve">Pre-milestone volume, baseline-only Cox from the end of age 14 (per SD)</w:t>
            </w:r>
          </w:p>
        </w:tc>
        <w:tc>
          <w:tcPr/>
          <w:p>
            <w:pPr>
              <w:pStyle w:val="Compact"/>
            </w:pPr>
            <w:r>
              <w:t xml:space="preserve">HR 0.65 [0.62, 0.69]</w:t>
            </w:r>
          </w:p>
        </w:tc>
        <w:tc>
          <w:tcPr/>
          <w:p>
            <w:pPr>
              <w:pStyle w:val="Compact"/>
            </w:pPr>
            <w:r>
              <w:t xml:space="preserve">1.34</w:t>
            </w:r>
          </w:p>
        </w:tc>
        <w:tc>
          <w:tcPr/>
          <w:p>
            <w:pPr>
              <w:pStyle w:val="Compact"/>
            </w:pPr>
            <w:r>
              <w:t xml:space="preserve">2.02</w:t>
            </w:r>
          </w:p>
        </w:tc>
        <w:tc>
          <w:tcPr/>
          <w:p>
            <w:pPr>
              <w:pStyle w:val="Compact"/>
            </w:pPr>
            <w:r>
              <w:t xml:space="preserve">1.90</w:t>
            </w:r>
          </w:p>
        </w:tc>
      </w:tr>
    </w:tbl>
    <w:p>
      <w:pPr>
        <w:pStyle w:val="BodyText"/>
      </w:pPr>
      <w:r>
        <w:rPr>
          <w:i/>
          <w:iCs/>
        </w:rPr>
        <w:t xml:space="preserve">Note.</w:t>
      </w:r>
      <w:r>
        <w:t xml:space="preserve"> </w:t>
      </w:r>
      <w:r>
        <w:t xml:space="preserve">Because the outcome is common (16.3%), the odds ratio is converted to an approximate risk ratio (RR ≈ √OR) before computing E = RR + √(RR(RR − 1)); the hazard ratio uses the common-outcome conversion RR ≈ (1 − 0.5^√HR)/(1 − 0.5^√(1/HR)), inverted because the association is protective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 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t xml:space="preserve">n (logistic)</w:t>
            </w:r>
          </w:p>
        </w:tc>
        <w:tc>
          <w:tcPr/>
          <w:p>
            <w:pPr>
              <w:pStyle w:val="Compact"/>
            </w:pPr>
            <w:r>
              <w:t xml:space="preserve">Retainers</w:t>
            </w:r>
          </w:p>
        </w:tc>
        <w:tc>
          <w:tcPr/>
          <w:p>
            <w:pPr>
              <w:pStyle w:val="Compact"/>
            </w:pPr>
            <w:r>
              <w:t xml:space="preserve">Min. detectable OR</w:t>
            </w:r>
          </w:p>
        </w:tc>
      </w:tr>
      <w:tr>
        <w:tc>
          <w:tcPr/>
          <w:p>
            <w:pPr>
              <w:pStyle w:val="Compact"/>
            </w:pPr>
            <w:r>
              <w:t xml:space="preserve">Combined</w:t>
            </w:r>
          </w:p>
        </w:tc>
        <w:tc>
          <w:tcPr/>
          <w:p>
            <w:pPr>
              <w:pStyle w:val="Compact"/>
            </w:pPr>
            <w:r>
              <w:t xml:space="preserve">1,908</w:t>
            </w:r>
          </w:p>
        </w:tc>
        <w:tc>
          <w:tcPr/>
          <w:p>
            <w:pPr>
              <w:pStyle w:val="Compact"/>
            </w:pPr>
            <w:r>
              <w:t xml:space="preserve">1,747</w:t>
            </w:r>
          </w:p>
        </w:tc>
        <w:tc>
          <w:tcPr/>
          <w:p>
            <w:pPr>
              <w:pStyle w:val="Compact"/>
            </w:pPr>
            <w:r>
              <w:t xml:space="preserve">1.069</w:t>
            </w:r>
          </w:p>
        </w:tc>
        <w:tc>
          <w:tcPr/>
          <w:p>
            <w:pPr>
              <w:pStyle w:val="Compact"/>
            </w:pPr>
            <w:r>
              <w:t xml:space="preserve">2,136</w:t>
            </w:r>
          </w:p>
        </w:tc>
        <w:tc>
          <w:tcPr/>
          <w:p>
            <w:pPr>
              <w:pStyle w:val="Compact"/>
            </w:pPr>
            <w:r>
              <w:t xml:space="preserve">347</w:t>
            </w:r>
          </w:p>
        </w:tc>
        <w:tc>
          <w:tcPr/>
          <w:p>
            <w:pPr>
              <w:pStyle w:val="Compact"/>
            </w:pPr>
            <w:r>
              <w:t xml:space="preserve">1.179</w:t>
            </w:r>
          </w:p>
        </w:tc>
      </w:tr>
      <w:tr>
        <w:tc>
          <w:tcPr/>
          <w:p>
            <w:pPr>
              <w:pStyle w:val="Compact"/>
            </w:pPr>
            <w:r>
              <w:t xml:space="preserve">1998–2000</w:t>
            </w:r>
          </w:p>
        </w:tc>
        <w:tc>
          <w:tcPr/>
          <w:p>
            <w:pPr>
              <w:pStyle w:val="Compact"/>
            </w:pPr>
            <w:r>
              <w:t xml:space="preserve">1,169</w:t>
            </w:r>
          </w:p>
        </w:tc>
        <w:tc>
          <w:tcPr/>
          <w:p>
            <w:pPr>
              <w:pStyle w:val="Compact"/>
            </w:pPr>
            <w:r>
              <w:t xml:space="preserve">1,094</w:t>
            </w:r>
          </w:p>
        </w:tc>
        <w:tc>
          <w:tcPr/>
          <w:p>
            <w:pPr>
              <w:pStyle w:val="Compact"/>
            </w:pPr>
            <w:r>
              <w:t xml:space="preserve">1.088</w:t>
            </w:r>
          </w:p>
        </w:tc>
        <w:tc>
          <w:tcPr/>
          <w:p>
            <w:pPr>
              <w:pStyle w:val="Compact"/>
            </w:pPr>
            <w:r>
              <w:t xml:space="preserve">1,308</w:t>
            </w:r>
          </w:p>
        </w:tc>
        <w:tc>
          <w:tcPr/>
          <w:p>
            <w:pPr>
              <w:pStyle w:val="Compact"/>
            </w:pPr>
            <w:r>
              <w:t xml:space="preserve">207</w:t>
            </w:r>
          </w:p>
        </w:tc>
        <w:tc>
          <w:tcPr/>
          <w:p>
            <w:pPr>
              <w:pStyle w:val="Compact"/>
            </w:pPr>
            <w:r>
              <w:t xml:space="preserve">1.236</w:t>
            </w:r>
          </w:p>
        </w:tc>
      </w:tr>
      <w:tr>
        <w:tc>
          <w:tcPr/>
          <w:p>
            <w:pPr>
              <w:pStyle w:val="Compact"/>
            </w:pPr>
            <w:r>
              <w:t xml:space="preserve">2001–2002</w:t>
            </w:r>
          </w:p>
        </w:tc>
        <w:tc>
          <w:tcPr/>
          <w:p>
            <w:pPr>
              <w:pStyle w:val="Compact"/>
            </w:pPr>
            <w:r>
              <w:t xml:space="preserve">739</w:t>
            </w:r>
          </w:p>
        </w:tc>
        <w:tc>
          <w:tcPr/>
          <w:p>
            <w:pPr>
              <w:pStyle w:val="Compact"/>
            </w:pPr>
            <w:r>
              <w:t xml:space="preserve">653</w:t>
            </w:r>
          </w:p>
        </w:tc>
        <w:tc>
          <w:tcPr/>
          <w:p>
            <w:pPr>
              <w:pStyle w:val="Compact"/>
            </w:pPr>
            <w:r>
              <w:t xml:space="preserve">1.116</w:t>
            </w:r>
          </w:p>
        </w:tc>
        <w:tc>
          <w:tcPr/>
          <w:p>
            <w:pPr>
              <w:pStyle w:val="Compact"/>
            </w:pPr>
            <w:r>
              <w:t xml:space="preserve">828</w:t>
            </w:r>
          </w:p>
        </w:tc>
        <w:tc>
          <w:tcPr/>
          <w:p>
            <w:pPr>
              <w:pStyle w:val="Compact"/>
            </w:pPr>
            <w:r>
              <w:t xml:space="preserve">140</w:t>
            </w:r>
          </w:p>
        </w:tc>
        <w:tc>
          <w:tcPr/>
          <w:p>
            <w:pPr>
              <w:pStyle w:val="Compact"/>
            </w:pPr>
            <w:r>
              <w:t xml:space="preserve">1.297</w:t>
            </w:r>
          </w:p>
        </w:tc>
      </w:tr>
    </w:tbl>
    <w:p>
      <w:pPr>
        <w:pStyle w:val="BodyText"/>
      </w:pPr>
      <w:r>
        <w:rPr>
          <w:i/>
          <w:iCs/>
        </w:rPr>
        <w:t xml:space="preserve">Note.</w:t>
      </w:r>
      <w:r>
        <w:t xml:space="preserve"> </w:t>
      </w:r>
      <w: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t xml:space="preserve">1.16</w:t>
            </w:r>
          </w:p>
        </w:tc>
        <w:tc>
          <w:tcPr/>
          <w:p>
            <w:pPr>
              <w:pStyle w:val="Compact"/>
            </w:pPr>
            <w:r>
              <w:t xml:space="preserve">1.16</w:t>
            </w:r>
          </w:p>
        </w:tc>
      </w:tr>
      <w:tr>
        <w:tc>
          <w:tcPr/>
          <w:p>
            <w:pPr>
              <w:pStyle w:val="Compact"/>
            </w:pPr>
            <w:r>
              <w:t xml:space="preserve">Tyrving (z)</w:t>
            </w:r>
          </w:p>
        </w:tc>
        <w:tc>
          <w:tcPr/>
          <w:p>
            <w:pPr>
              <w:pStyle w:val="Compact"/>
            </w:pPr>
            <w:r>
              <w:t xml:space="preserve">0.92</w:t>
            </w:r>
          </w:p>
        </w:tc>
        <w:tc>
          <w:tcPr/>
          <w:p>
            <w:pPr>
              <w:pStyle w:val="Compact"/>
            </w:pPr>
            <w:r>
              <w:t xml:space="preserve">0.92</w:t>
            </w:r>
          </w:p>
        </w:tc>
      </w:tr>
      <w:tr>
        <w:tc>
          <w:tcPr/>
          <w:p>
            <w:pPr>
              <w:pStyle w:val="Compact"/>
            </w:pPr>
            <w:r>
              <w:t xml:space="preserve">HHI, ages 13–14 (z)</w:t>
            </w:r>
          </w:p>
        </w:tc>
        <w:tc>
          <w:tcPr/>
          <w:p>
            <w:pPr>
              <w:pStyle w:val="Compact"/>
            </w:pPr>
            <w:r>
              <w:t xml:space="preserve">0.97</w:t>
            </w:r>
          </w:p>
        </w:tc>
        <w:tc>
          <w:tcPr/>
          <w:p>
            <w:pPr>
              <w:pStyle w:val="Compact"/>
            </w:pPr>
            <w:r>
              <w:t xml:space="preserve">0.97</w:t>
            </w:r>
          </w:p>
        </w:tc>
      </w:tr>
      <w:tr>
        <w:tc>
          <w:tcPr/>
          <w:p>
            <w:pPr>
              <w:pStyle w:val="Compact"/>
            </w:pPr>
            <w:r>
              <w:t xml:space="preserve">Volume at age 15–16 (z)</w:t>
            </w:r>
          </w:p>
        </w:tc>
        <w:tc>
          <w:tcPr/>
          <w:p>
            <w:pPr>
              <w:pStyle w:val="Compact"/>
            </w:pPr>
            <w:r>
              <w:t xml:space="preserve">0.48</w:t>
            </w:r>
          </w:p>
        </w:tc>
        <w:tc>
          <w:tcPr/>
          <w:p>
            <w:pPr>
              <w:pStyle w:val="Compact"/>
            </w:pPr>
            <w:r>
              <w:t xml:space="preserve">0.48</w:t>
            </w:r>
          </w:p>
        </w:tc>
      </w:tr>
      <w:tr>
        <w:tc>
          <w:tcPr/>
          <w:p>
            <w:pPr>
              <w:pStyle w:val="Compact"/>
            </w:pPr>
            <w:r>
              <w:t xml:space="preserve">Championship types</w:t>
            </w:r>
          </w:p>
        </w:tc>
        <w:tc>
          <w:tcPr/>
          <w:p>
            <w:pPr>
              <w:pStyle w:val="Compact"/>
            </w:pPr>
            <w:r>
              <w:t xml:space="preserve">0.70</w:t>
            </w:r>
          </w:p>
        </w:tc>
        <w:tc>
          <w:tcPr/>
          <w:p>
            <w:pPr>
              <w:pStyle w:val="Compact"/>
            </w:pPr>
            <w:r>
              <w:t xml:space="preserve">0.70</w:t>
            </w:r>
          </w:p>
        </w:tc>
      </w:tr>
      <w:tr>
        <w:tc>
          <w:tcPr/>
          <w:p>
            <w:pPr>
              <w:pStyle w:val="Compact"/>
            </w:pPr>
            <w:r>
              <w:t xml:space="preserve">n</w:t>
            </w:r>
          </w:p>
        </w:tc>
        <w:tc>
          <w:tcPr/>
          <w:p>
            <w:pPr>
              <w:pStyle w:val="Compact"/>
            </w:pPr>
            <w:r>
              <w:t xml:space="preserve">2,136</w:t>
            </w:r>
          </w:p>
        </w:tc>
        <w:tc>
          <w:tcPr/>
          <w:p>
            <w:pPr>
              <w:pStyle w:val="Compact"/>
            </w:pPr>
            <w: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 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t xml:space="preserve">.002</w:t>
            </w:r>
          </w:p>
        </w:tc>
      </w:tr>
      <w:tr>
        <w:tc>
          <w:tcPr/>
          <w:p>
            <w:pPr>
              <w:pStyle w:val="Compact"/>
            </w:pPr>
            <w:r>
              <w:t xml:space="preserve">Tyrving (z)</w:t>
            </w:r>
          </w:p>
        </w:tc>
        <w:tc>
          <w:tcPr/>
          <w:p>
            <w:pPr>
              <w:pStyle w:val="Compact"/>
            </w:pPr>
            <w:r>
              <w:t xml:space="preserve">0.92</w:t>
            </w:r>
          </w:p>
        </w:tc>
        <w:tc>
          <w:tcPr/>
          <w:p>
            <w:pPr>
              <w:pStyle w:val="Compact"/>
            </w:pPr>
            <w:r>
              <w:t xml:space="preserve">&lt; .001</w:t>
            </w:r>
          </w:p>
        </w:tc>
      </w:tr>
      <w:tr>
        <w:tc>
          <w:tcPr/>
          <w:p>
            <w:pPr>
              <w:pStyle w:val="Compact"/>
            </w:pPr>
            <w:r>
              <w:t xml:space="preserve">Volume at age 15–16 (z)</w:t>
            </w:r>
          </w:p>
        </w:tc>
        <w:tc>
          <w:tcPr/>
          <w:p>
            <w:pPr>
              <w:pStyle w:val="Compact"/>
            </w:pPr>
            <w:r>
              <w:t xml:space="preserve">0.47</w:t>
            </w:r>
          </w:p>
        </w:tc>
        <w:tc>
          <w:tcPr/>
          <w:p>
            <w:pPr>
              <w:pStyle w:val="Compact"/>
            </w:pPr>
            <w:r>
              <w:t xml:space="preserve">&lt; .001</w:t>
            </w:r>
          </w:p>
        </w:tc>
      </w:tr>
      <w:tr>
        <w:tc>
          <w:tcPr/>
          <w:p>
            <w:pPr>
              <w:pStyle w:val="Compact"/>
            </w:pPr>
            <w:r>
              <w:t xml:space="preserve">Championship types</w:t>
            </w:r>
          </w:p>
        </w:tc>
        <w:tc>
          <w:tcPr/>
          <w:p>
            <w:pPr>
              <w:pStyle w:val="Compact"/>
            </w:pPr>
            <w:r>
              <w:t xml:space="preserve">0.70</w:t>
            </w:r>
          </w:p>
        </w:tc>
        <w:tc>
          <w:tcPr/>
          <w:p>
            <w:pPr>
              <w:pStyle w:val="Compact"/>
            </w:pPr>
            <w:r>
              <w:t xml:space="preserve">&lt; .001</w:t>
            </w:r>
          </w:p>
        </w:tc>
      </w:tr>
    </w:tbl>
    <w:p>
      <w:pPr>
        <w:pStyle w:val="BodyText"/>
      </w:pPr>
      <w:r>
        <w:rPr>
          <w:i/>
          <w:iCs/>
        </w:rPr>
        <w:t xml:space="preserve">Note.</w:t>
      </w:r>
      <w:r>
        <w:t xml:space="preserve"> </w:t>
      </w:r>
      <w:r>
        <w:t xml:space="preserve">Post-baseline specification. HHI is one of the covariates that violate proportional hazards (Supplementary Table S1); stratifying on it leaves the other estimates essentially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t xml:space="preserve">1,006</w:t>
            </w:r>
          </w:p>
        </w:tc>
        <w:tc>
          <w:tcPr/>
          <w:p>
            <w:pPr>
              <w:pStyle w:val="Compact"/>
            </w:pPr>
            <w:r>
              <w:t xml:space="preserve">Tyrving (z)</w:t>
            </w:r>
          </w:p>
        </w:tc>
        <w:tc>
          <w:tcPr/>
          <w:p>
            <w:pPr>
              <w:pStyle w:val="Compact"/>
            </w:pPr>
            <w:r>
              <w:t xml:space="preserve">0.99</w:t>
            </w:r>
          </w:p>
        </w:tc>
        <w:tc>
          <w:tcPr/>
          <w:p>
            <w:pPr>
              <w:pStyle w:val="Compact"/>
            </w:pPr>
            <w:r>
              <w:t xml:space="preserve">[0.93, 1.05]</w:t>
            </w:r>
          </w:p>
        </w:tc>
        <w:tc>
          <w:tcPr/>
          <w:p>
            <w:pPr>
              <w:pStyle w:val="Compact"/>
            </w:pPr>
            <w:r>
              <w:t xml:space="preserve">.698</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0.97</w:t>
            </w:r>
          </w:p>
        </w:tc>
        <w:tc>
          <w:tcPr/>
          <w:p>
            <w:pPr>
              <w:pStyle w:val="Compact"/>
            </w:pPr>
            <w:r>
              <w:t xml:space="preserve">[0.91, 1.03]</w:t>
            </w:r>
          </w:p>
        </w:tc>
        <w:tc>
          <w:tcPr/>
          <w:p>
            <w:pPr>
              <w:pStyle w:val="Compact"/>
            </w:pPr>
            <w:r>
              <w:t xml:space="preserve">.274</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0.48</w:t>
            </w:r>
          </w:p>
        </w:tc>
        <w:tc>
          <w:tcPr/>
          <w:p>
            <w:pPr>
              <w:pStyle w:val="Compact"/>
            </w:pPr>
            <w:r>
              <w:t xml:space="preserve">[0.43, 0.55]</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0.60</w:t>
            </w:r>
          </w:p>
        </w:tc>
        <w:tc>
          <w:tcPr/>
          <w:p>
            <w:pPr>
              <w:pStyle w:val="Compact"/>
            </w:pPr>
            <w:r>
              <w:t xml:space="preserve">[0.54, 0.67]</w:t>
            </w:r>
          </w:p>
        </w:tc>
        <w:tc>
          <w:tcPr/>
          <w:p>
            <w:pPr>
              <w:pStyle w:val="Compact"/>
            </w:pPr>
            <w:r>
              <w:t xml:space="preserve">&lt; .001</w:t>
            </w:r>
          </w:p>
        </w:tc>
      </w:tr>
      <w:tr>
        <w:tc>
          <w:tcPr/>
          <w:p>
            <w:pPr>
              <w:pStyle w:val="Compact"/>
            </w:pPr>
            <w:r>
              <w:t xml:space="preserve">Female</w:t>
            </w:r>
          </w:p>
        </w:tc>
        <w:tc>
          <w:tcPr/>
          <w:p>
            <w:pPr>
              <w:pStyle w:val="Compact"/>
            </w:pPr>
            <w:r>
              <w:t xml:space="preserve">1,130</w:t>
            </w:r>
          </w:p>
        </w:tc>
        <w:tc>
          <w:tcPr/>
          <w:p>
            <w:pPr>
              <w:pStyle w:val="Compact"/>
            </w:pPr>
            <w:r>
              <w:t xml:space="preserve">Tyrving (z)</w:t>
            </w:r>
          </w:p>
        </w:tc>
        <w:tc>
          <w:tcPr/>
          <w:p>
            <w:pPr>
              <w:pStyle w:val="Compact"/>
            </w:pPr>
            <w:r>
              <w:t xml:space="preserve">0.83</w:t>
            </w:r>
          </w:p>
        </w:tc>
        <w:tc>
          <w:tcPr/>
          <w:p>
            <w:pPr>
              <w:pStyle w:val="Compact"/>
            </w:pPr>
            <w:r>
              <w:t xml:space="preserve">[0.78, 0.89]</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0.98</w:t>
            </w:r>
          </w:p>
        </w:tc>
        <w:tc>
          <w:tcPr/>
          <w:p>
            <w:pPr>
              <w:pStyle w:val="Compact"/>
            </w:pPr>
            <w:r>
              <w:t xml:space="preserve">[0.92, 1.05]</w:t>
            </w:r>
          </w:p>
        </w:tc>
        <w:tc>
          <w:tcPr/>
          <w:p>
            <w:pPr>
              <w:pStyle w:val="Compact"/>
            </w:pPr>
            <w:r>
              <w:t xml:space="preserve">.593</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0.48</w:t>
            </w:r>
          </w:p>
        </w:tc>
        <w:tc>
          <w:tcPr/>
          <w:p>
            <w:pPr>
              <w:pStyle w:val="Compact"/>
            </w:pPr>
            <w:r>
              <w:t xml:space="preserve">[0.43, 0.54]</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0.78</w:t>
            </w:r>
          </w:p>
        </w:tc>
        <w:tc>
          <w:tcPr/>
          <w:p>
            <w:pPr>
              <w:pStyle w:val="Compact"/>
            </w:pPr>
            <w:r>
              <w:t xml:space="preserve">[0.71, 0.86]</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 0.851 (male) and 0.846 (female). The dominant behavioral covariate is near-identical across sexes (volume HR 0.48 vs 0.48).</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 1,148)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1.25</w:t>
            </w:r>
          </w:p>
        </w:tc>
        <w:tc>
          <w:tcPr/>
          <w:p>
            <w:pPr>
              <w:pStyle w:val="Compact"/>
            </w:pPr>
            <w:r>
              <w:t xml:space="preserve">[1.10, 1.42]</w:t>
            </w:r>
          </w:p>
        </w:tc>
        <w:tc>
          <w:tcPr/>
          <w:p>
            <w:pPr>
              <w:pStyle w:val="Compact"/>
            </w:pPr>
            <w:r>
              <w:t xml:space="preserve">&lt; .001</w:t>
            </w:r>
          </w:p>
        </w:tc>
      </w:tr>
      <w:tr>
        <w:tc>
          <w:tcPr/>
          <w:p>
            <w:pPr>
              <w:pStyle w:val="Compact"/>
            </w:pPr>
            <w:r>
              <w:t xml:space="preserve">Tyrving (z)</w:t>
            </w:r>
          </w:p>
        </w:tc>
        <w:tc>
          <w:tcPr/>
          <w:p>
            <w:pPr>
              <w:pStyle w:val="Compact"/>
            </w:pPr>
            <w:r>
              <w:t xml:space="preserve">0.91</w:t>
            </w:r>
          </w:p>
        </w:tc>
        <w:tc>
          <w:tcPr/>
          <w:p>
            <w:pPr>
              <w:pStyle w:val="Compact"/>
            </w:pPr>
            <w:r>
              <w:t xml:space="preserve">[0.84, 0.98]</w:t>
            </w:r>
          </w:p>
        </w:tc>
        <w:tc>
          <w:tcPr/>
          <w:p>
            <w:pPr>
              <w:pStyle w:val="Compact"/>
            </w:pPr>
            <w:r>
              <w:t xml:space="preserve">.011</w:t>
            </w:r>
          </w:p>
        </w:tc>
      </w:tr>
      <w:tr>
        <w:tc>
          <w:tcPr/>
          <w:p>
            <w:pPr>
              <w:pStyle w:val="Compact"/>
            </w:pPr>
            <w:r>
              <w:t xml:space="preserve">HHI, ages 13–14 (z)</w:t>
            </w:r>
          </w:p>
        </w:tc>
        <w:tc>
          <w:tcPr/>
          <w:p>
            <w:pPr>
              <w:pStyle w:val="Compact"/>
            </w:pPr>
            <w:r>
              <w:t xml:space="preserve">0.90</w:t>
            </w:r>
          </w:p>
        </w:tc>
        <w:tc>
          <w:tcPr/>
          <w:p>
            <w:pPr>
              <w:pStyle w:val="Compact"/>
            </w:pPr>
            <w:r>
              <w:t xml:space="preserve">[0.84, 0.97]</w:t>
            </w:r>
          </w:p>
        </w:tc>
        <w:tc>
          <w:tcPr/>
          <w:p>
            <w:pPr>
              <w:pStyle w:val="Compact"/>
            </w:pPr>
            <w:r>
              <w:t xml:space="preserve">.003</w:t>
            </w:r>
          </w:p>
        </w:tc>
      </w:tr>
      <w:tr>
        <w:tc>
          <w:tcPr/>
          <w:p>
            <w:pPr>
              <w:pStyle w:val="Compact"/>
            </w:pPr>
            <w:r>
              <w:rPr>
                <w:b/>
                <w:bCs/>
              </w:rPr>
              <w:t xml:space="preserve">Volume at age 15–16 (z)</w:t>
            </w:r>
          </w:p>
        </w:tc>
        <w:tc>
          <w:tcPr/>
          <w:p>
            <w:pPr>
              <w:pStyle w:val="Compact"/>
            </w:pPr>
            <w:r>
              <w:t xml:space="preserve">0.71</w:t>
            </w:r>
          </w:p>
        </w:tc>
        <w:tc>
          <w:tcPr/>
          <w:p>
            <w:pPr>
              <w:pStyle w:val="Compact"/>
            </w:pPr>
            <w:r>
              <w:t xml:space="preserve">[0.65, 0.78]</w:t>
            </w:r>
          </w:p>
        </w:tc>
        <w:tc>
          <w:tcPr/>
          <w:p>
            <w:pPr>
              <w:pStyle w:val="Compact"/>
            </w:pPr>
            <w:r>
              <w:t xml:space="preserve">&lt; .001</w:t>
            </w:r>
          </w:p>
        </w:tc>
      </w:tr>
      <w:tr>
        <w:tc>
          <w:tcPr/>
          <w:p>
            <w:pPr>
              <w:pStyle w:val="Compact"/>
            </w:pPr>
            <w:r>
              <w:t xml:space="preserve">Championship types</w:t>
            </w:r>
          </w:p>
        </w:tc>
        <w:tc>
          <w:tcPr/>
          <w:p>
            <w:pPr>
              <w:pStyle w:val="Compact"/>
            </w:pPr>
            <w:r>
              <w:t xml:space="preserve">0.82</w:t>
            </w:r>
          </w:p>
        </w:tc>
        <w:tc>
          <w:tcPr/>
          <w:p>
            <w:pPr>
              <w:pStyle w:val="Compact"/>
            </w:pPr>
            <w:r>
              <w:t xml:space="preserve">[0.74, 0.90]</w:t>
            </w:r>
          </w:p>
        </w:tc>
        <w:tc>
          <w:tcPr/>
          <w:p>
            <w:pPr>
              <w:pStyle w:val="Compact"/>
            </w:pPr>
            <w:r>
              <w:t xml:space="preserve">&lt; .001</w:t>
            </w:r>
          </w:p>
        </w:tc>
      </w:tr>
      <w:tr>
        <w:tc>
          <w:tcPr/>
          <w:p>
            <w:pPr>
              <w:pStyle w:val="Compact"/>
            </w:pPr>
            <w:r>
              <w:t xml:space="preserve">n complete</w:t>
            </w:r>
          </w:p>
        </w:tc>
        <w:tc>
          <w:tcPr/>
          <w:p>
            <w:pPr>
              <w:pStyle w:val="Compact"/>
            </w:pPr>
            <w:r>
              <w:t xml:space="preserve">1,147</w:t>
            </w:r>
          </w:p>
        </w:tc>
        <w:tc>
          <w:tcPr/>
          <w:p>
            <w:pPr>
              <w:pStyle w:val="Compact"/>
            </w:pPr>
          </w:p>
        </w:tc>
        <w:tc>
          <w:tcPr/>
          <w:p>
            <w:pPr>
              <w:pStyle w:val="Compact"/>
            </w:pPr>
          </w:p>
        </w:tc>
      </w:tr>
      <w:tr>
        <w:tc>
          <w:tcPr/>
          <w:p>
            <w:pPr>
              <w:pStyle w:val="Compact"/>
            </w:pPr>
            <w:r>
              <w:t xml:space="preserve">C-index</w:t>
            </w:r>
          </w:p>
        </w:tc>
        <w:tc>
          <w:tcPr/>
          <w:p>
            <w:pPr>
              <w:pStyle w:val="Compact"/>
            </w:pPr>
            <w:r>
              <w:t xml:space="preserve">0.696</w:t>
            </w:r>
          </w:p>
        </w:tc>
        <w:tc>
          <w:tcPr/>
          <w:p>
            <w:pPr>
              <w:pStyle w:val="Compact"/>
            </w:pPr>
          </w:p>
        </w:tc>
        <w:tc>
          <w:tcPr/>
          <w:p>
            <w:pPr>
              <w:pStyle w:val="Compact"/>
            </w:pPr>
          </w:p>
        </w:tc>
      </w:tr>
    </w:tbl>
    <w:p>
      <w:pPr>
        <w:pStyle w:val="BodyText"/>
      </w:pPr>
      <w:r>
        <w:rPr>
          <w:i/>
          <w:iCs/>
        </w:rPr>
        <w:t xml:space="preserve">Note.</w:t>
      </w:r>
      <w:r>
        <w:t xml:space="preserve"> </w:t>
      </w:r>
      <w:r>
        <w:t xml:space="preserve">Athletes still in their career at age 16 (final active season at 16 or later), with follow-up time measured from age 16 forward (986 events). The earlier entry rule (≥1 result at 16) also admitted 71 athletes whose final active season was earlier, so that their event preceded time zero. The age-16 share of the exposure window lies at the start of the at-risk window (see Supplementary Methods S-M1). The logistic analogue among athletes still active at 16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412 (19.3%)</w:t>
            </w:r>
          </w:p>
        </w:tc>
        <w:tc>
          <w:tcPr/>
          <w:p>
            <w:pPr>
              <w:pStyle w:val="Compact"/>
            </w:pPr>
            <w:r>
              <w:t xml:space="preserve">1.95</w:t>
            </w:r>
          </w:p>
        </w:tc>
        <w:tc>
          <w:tcPr/>
          <w:p>
            <w:pPr>
              <w:pStyle w:val="Compact"/>
            </w:pPr>
            <w:r>
              <w:t xml:space="preserve">[1.73, 2.20]</w:t>
            </w:r>
          </w:p>
        </w:tc>
        <w:tc>
          <w:tcPr/>
          <w:p>
            <w:pPr>
              <w:pStyle w:val="Compact"/>
            </w:pPr>
            <w: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(16.3%)</w:t>
            </w:r>
          </w:p>
        </w:tc>
        <w:tc>
          <w:tcPr/>
          <w:p>
            <w:pPr>
              <w:pStyle w:val="Compact"/>
            </w:pPr>
            <w:r>
              <w:t xml:space="preserve">2.04</w:t>
            </w:r>
          </w:p>
        </w:tc>
        <w:tc>
          <w:tcPr/>
          <w:p>
            <w:pPr>
              <w:pStyle w:val="Compact"/>
            </w:pPr>
            <w:r>
              <w:t xml:space="preserve">[1.80, 2.32]</w:t>
            </w:r>
          </w:p>
        </w:tc>
        <w:tc>
          <w:tcPr/>
          <w:p>
            <w:pPr>
              <w:pStyle w:val="Compact"/>
            </w:pPr>
            <w: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255 (11.9%)</w:t>
            </w:r>
          </w:p>
        </w:tc>
        <w:tc>
          <w:tcPr/>
          <w:p>
            <w:pPr>
              <w:pStyle w:val="Compact"/>
            </w:pPr>
            <w:r>
              <w:t xml:space="preserve">1.87</w:t>
            </w:r>
          </w:p>
        </w:tc>
        <w:tc>
          <w:tcPr/>
          <w:p>
            <w:pPr>
              <w:pStyle w:val="Compact"/>
            </w:pPr>
            <w:r>
              <w:t xml:space="preserve">[1.64, 2.14]</w:t>
            </w:r>
          </w:p>
        </w:tc>
        <w:tc>
          <w:tcPr/>
          <w:p>
            <w:pPr>
              <w:pStyle w:val="Compact"/>
            </w:pPr>
            <w:r>
              <w:t xml:space="preserve">0.767</w:t>
            </w:r>
          </w:p>
        </w:tc>
      </w:tr>
    </w:tbl>
    <w:p>
      <w:pPr>
        <w:pStyle w:val="BodyText"/>
      </w:pPr>
      <w:r>
        <w:rPr>
          <w:i/>
          <w:iCs/>
        </w:rPr>
        <w:t xml:space="preserve">Note.</w:t>
      </w:r>
      <w:r>
        <w:t xml:space="preserve"> </w:t>
      </w:r>
      <w:r>
        <w:t xml:space="preserve">All three rows re-estimate the primary L4 model (sex, Tyrving, HHI, pre-milestone volume; n = 2,136) with the alternative outcome definitions. The volume effect is stable across definitions. 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1.21</w:t>
            </w:r>
          </w:p>
        </w:tc>
        <w:tc>
          <w:tcPr/>
          <w:p>
            <w:pPr>
              <w:pStyle w:val="Compact"/>
            </w:pPr>
            <w:r>
              <w:t xml:space="preserve">[1.10, 1.34]</w:t>
            </w:r>
          </w:p>
        </w:tc>
        <w:tc>
          <w:tcPr/>
          <w:p>
            <w:pPr>
              <w:pStyle w:val="Compact"/>
            </w:pPr>
            <w:r>
              <w:t xml:space="preserve">&lt; .001</w:t>
            </w:r>
          </w:p>
        </w:tc>
      </w:tr>
      <w:tr>
        <w:tc>
          <w:tcPr/>
          <w:p>
            <w:pPr>
              <w:pStyle w:val="Compact"/>
            </w:pPr>
            <w:r>
              <w:t xml:space="preserve">Tyrving (z)</w:t>
            </w:r>
          </w:p>
        </w:tc>
        <w:tc>
          <w:tcPr/>
          <w:p>
            <w:pPr>
              <w:pStyle w:val="Compact"/>
            </w:pPr>
            <w:r>
              <w:t xml:space="preserve">0.82</w:t>
            </w:r>
          </w:p>
        </w:tc>
        <w:tc>
          <w:tcPr/>
          <w:p>
            <w:pPr>
              <w:pStyle w:val="Compact"/>
            </w:pPr>
            <w:r>
              <w:t xml:space="preserve">[0.79, 0.86]</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[0.62, 0.69]</w:t>
            </w:r>
          </w:p>
        </w:tc>
        <w:tc>
          <w:tcPr/>
          <w:p>
            <w:pPr>
              <w:pStyle w:val="Compact"/>
            </w:pPr>
            <w:r>
              <w:t xml:space="preserve">&lt; .001</w:t>
            </w:r>
          </w:p>
        </w:tc>
      </w:tr>
    </w:tbl>
    <w:p>
      <w:pPr>
        <w:pStyle w:val="BodyText"/>
      </w:pPr>
      <w:r>
        <w:rPr>
          <w:i/>
          <w:iCs/>
        </w:rPr>
        <w:t xml:space="preserve">Note.</w:t>
      </w:r>
      <w:r>
        <w:t xml:space="preserve"> </w:t>
      </w:r>
      <w:r>
        <w:t xml:space="preserve">n = 1,908 (1,747 events); C-index = 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[1.10, 1.37]</w:t>
            </w:r>
          </w:p>
        </w:tc>
        <w:tc>
          <w:tcPr/>
          <w:p>
            <w:pPr>
              <w:pStyle w:val="Compact"/>
            </w:pPr>
            <w:r>
              <w:t xml:space="preserve">&lt; .001</w:t>
            </w:r>
          </w:p>
        </w:tc>
      </w:tr>
      <w:tr>
        <w:tc>
          <w:tcPr/>
          <w:p>
            <w:pPr>
              <w:pStyle w:val="Compact"/>
            </w:pPr>
            <w:r>
              <w:t xml:space="preserve">Tyrving (z)</w:t>
            </w:r>
          </w:p>
        </w:tc>
        <w:tc>
          <w:tcPr/>
          <w:p>
            <w:pPr>
              <w:pStyle w:val="Compact"/>
            </w:pPr>
            <w:r>
              <w:t xml:space="preserve">0.92</w:t>
            </w:r>
          </w:p>
        </w:tc>
        <w:tc>
          <w:tcPr/>
          <w:p>
            <w:pPr>
              <w:pStyle w:val="Compact"/>
            </w:pPr>
            <w:r>
              <w:t xml:space="preserve">[0.87, 0.98]</w:t>
            </w:r>
          </w:p>
        </w:tc>
        <w:tc>
          <w:tcPr/>
          <w:p>
            <w:pPr>
              <w:pStyle w:val="Compact"/>
            </w:pPr>
            <w:r>
              <w:t xml:space="preserve">.005</w:t>
            </w:r>
          </w:p>
        </w:tc>
      </w:tr>
      <w:tr>
        <w:tc>
          <w:tcPr/>
          <w:p>
            <w:pPr>
              <w:pStyle w:val="Compact"/>
            </w:pPr>
            <w:r>
              <w:t xml:space="preserve">HHI, ages 13–14 (z)</w:t>
            </w:r>
          </w:p>
        </w:tc>
        <w:tc>
          <w:tcPr/>
          <w:p>
            <w:pPr>
              <w:pStyle w:val="Compact"/>
            </w:pPr>
            <w:r>
              <w:t xml:space="preserve">0.95</w:t>
            </w:r>
          </w:p>
        </w:tc>
        <w:tc>
          <w:tcPr/>
          <w:p>
            <w:pPr>
              <w:pStyle w:val="Compact"/>
            </w:pPr>
            <w:r>
              <w:t xml:space="preserve">[0.90, 1.01]</w:t>
            </w:r>
          </w:p>
        </w:tc>
        <w:tc>
          <w:tcPr/>
          <w:p>
            <w:pPr>
              <w:pStyle w:val="Compact"/>
            </w:pPr>
            <w:r>
              <w:t xml:space="preserve">.088</w:t>
            </w:r>
          </w:p>
        </w:tc>
      </w:tr>
      <w:tr>
        <w:tc>
          <w:tcPr/>
          <w:p>
            <w:pPr>
              <w:pStyle w:val="Compact"/>
            </w:pPr>
            <w:r>
              <w:rPr>
                <w:b/>
                <w:bCs/>
              </w:rPr>
              <w:t xml:space="preserve">Volume at age 15–16 (z)</w:t>
            </w:r>
          </w:p>
        </w:tc>
        <w:tc>
          <w:tcPr/>
          <w:p>
            <w:pPr>
              <w:pStyle w:val="Compact"/>
            </w:pPr>
            <w:r>
              <w:t xml:space="preserve">0.54</w:t>
            </w:r>
          </w:p>
        </w:tc>
        <w:tc>
          <w:tcPr/>
          <w:p>
            <w:pPr>
              <w:pStyle w:val="Compact"/>
            </w:pPr>
            <w:r>
              <w:t xml:space="preserve">[0.50, 0.59]</w:t>
            </w:r>
          </w:p>
        </w:tc>
        <w:tc>
          <w:tcPr/>
          <w:p>
            <w:pPr>
              <w:pStyle w:val="Compact"/>
            </w:pPr>
            <w:r>
              <w:t xml:space="preserve">&lt; .001</w:t>
            </w:r>
          </w:p>
        </w:tc>
      </w:tr>
      <w:tr>
        <w:tc>
          <w:tcPr/>
          <w:p>
            <w:pPr>
              <w:pStyle w:val="Compact"/>
            </w:pPr>
            <w:r>
              <w:t xml:space="preserve">Championship types</w:t>
            </w:r>
          </w:p>
        </w:tc>
        <w:tc>
          <w:tcPr/>
          <w:p>
            <w:pPr>
              <w:pStyle w:val="Compact"/>
            </w:pPr>
            <w:r>
              <w:t xml:space="preserve">0.76</w:t>
            </w:r>
          </w:p>
        </w:tc>
        <w:tc>
          <w:tcPr/>
          <w:p>
            <w:pPr>
              <w:pStyle w:val="Compact"/>
            </w:pPr>
            <w:r>
              <w:t xml:space="preserve">[0.70, 0.83]</w:t>
            </w:r>
          </w:p>
        </w:tc>
        <w:tc>
          <w:tcPr/>
          <w:p>
            <w:pPr>
              <w:pStyle w:val="Compact"/>
            </w:pPr>
            <w:r>
              <w:t xml:space="preserve">&lt; .001</w:t>
            </w:r>
          </w:p>
        </w:tc>
      </w:tr>
    </w:tbl>
    <w:p>
      <w:pPr>
        <w:pStyle w:val="BodyText"/>
      </w:pPr>
      <w:r>
        <w:rPr>
          <w:i/>
          <w:iCs/>
        </w:rPr>
        <w:t xml:space="preserve">Note.</w:t>
      </w:r>
      <w:r>
        <w:t xml:space="preserve"> </w:t>
      </w:r>
      <w:r>
        <w:t xml:space="preserve">Excludes 595 athletes with vol_milestone = 0; remaining n = 1,541; C-index = 0.789.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2,138</w:t>
            </w:r>
          </w:p>
        </w:tc>
        <w:tc>
          <w:tcPr/>
          <w:p>
            <w:pPr>
              <w:pStyle w:val="Compact"/>
            </w:pPr>
            <w:r>
              <w:t xml:space="preserve">All included athletes</w:t>
            </w:r>
          </w:p>
        </w:tc>
      </w:tr>
      <w:tr>
        <w:tc>
          <w:tcPr/>
          <w:p>
            <w:pPr>
              <w:pStyle w:val="Compact"/>
            </w:pPr>
            <w:r>
              <w:t xml:space="preserve">Sex known</w:t>
            </w:r>
          </w:p>
        </w:tc>
        <w:tc>
          <w:tcPr/>
          <w:p>
            <w:pPr>
              <w:pStyle w:val="Compact"/>
            </w:pPr>
            <w:r>
              <w:t xml:space="preserve">2,136</w:t>
            </w:r>
          </w:p>
        </w:tc>
        <w:tc>
          <w:tcPr/>
          <w:p>
            <w:pPr>
              <w:pStyle w:val="Compact"/>
            </w:pPr>
            <w:r>
              <w:t xml:space="preserve">Gender M/F registered (2 unknown; excluded from models that adjust for sex except the mean-imputation check in Table S5; included in cohort totals, the fixed-effects model and full-cohort descriptive analyses)</w:t>
            </w:r>
          </w:p>
        </w:tc>
      </w:tr>
      <w:tr>
        <w:tc>
          <w:tcPr/>
          <w:p>
            <w:pPr>
              <w:pStyle w:val="Compact"/>
            </w:pPr>
            <w:r>
              <w:t xml:space="preserve">Primary logistic L1–L4</w:t>
            </w:r>
          </w:p>
        </w:tc>
        <w:tc>
          <w:tcPr/>
          <w:p>
            <w:pPr>
              <w:pStyle w:val="Compact"/>
            </w:pPr>
            <w: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t xml:space="preserve">1,925</w:t>
            </w:r>
          </w:p>
        </w:tc>
        <w:tc>
          <w:tcPr/>
          <w:p>
            <w:pPr>
              <w:pStyle w:val="Compact"/>
            </w:pPr>
            <w:r>
              <w:t xml:space="preserve">Of 1,926 athletes with ≥1 result at age 14; complete case on sex and Tyrving</w:t>
            </w:r>
          </w:p>
        </w:tc>
      </w:tr>
      <w:tr>
        <w:tc>
          <w:tcPr/>
          <w:p>
            <w:pPr>
              <w:pStyle w:val="Compact"/>
            </w:pPr>
            <w:r>
              <w:t xml:space="preserve">Change model among athletes active at 16</w:t>
            </w:r>
          </w:p>
        </w:tc>
        <w:tc>
          <w:tcPr/>
          <w:p>
            <w:pPr>
              <w:pStyle w:val="Compact"/>
            </w:pPr>
            <w:r>
              <w:t xml:space="preserve">1,088</w:t>
            </w:r>
          </w:p>
        </w:tc>
        <w:tc>
          <w:tcPr/>
          <w:p>
            <w:pPr>
              <w:pStyle w:val="Compact"/>
            </w:pPr>
            <w:r>
              <w:t xml:space="preserve">Of 1,089 athletes with ≥2 results at age 16; complete case on sex</w:t>
            </w:r>
          </w:p>
        </w:tc>
      </w:tr>
      <w:tr>
        <w:tc>
          <w:tcPr/>
          <w:p>
            <w:pPr>
              <w:pStyle w:val="Compact"/>
            </w:pPr>
            <w:r>
              <w:t xml:space="preserve">Baseline-only Cox (Supplementary Tables S10, S16, S30)</w:t>
            </w:r>
          </w:p>
        </w:tc>
        <w:tc>
          <w:tcPr/>
          <w:p>
            <w:pPr>
              <w:pStyle w:val="Compact"/>
            </w:pPr>
            <w:r>
              <w:t xml:space="preserve">1,908</w:t>
            </w:r>
          </w:p>
        </w:tc>
        <w:tc>
          <w:tcPr/>
          <w:p>
            <w:pPr>
              <w:pStyle w:val="Compact"/>
            </w:pPr>
            <w:r>
              <w:t xml:space="preserve">Time zero at the end of the age-14 season; excludes the 229 athletes whose final active season was at 13 and 1 without registered sex; the first-inactive-season definition in Table S30 also requires an active season at 14</w:t>
            </w:r>
          </w:p>
        </w:tc>
      </w:tr>
      <w:tr>
        <w:tc>
          <w:tcPr/>
          <w:p>
            <w:pPr>
              <w:pStyle w:val="Compact"/>
            </w:pPr>
            <w:r>
              <w:t xml:space="preserve">Landmark Cox at age 16</w:t>
            </w:r>
          </w:p>
        </w:tc>
        <w:tc>
          <w:tcPr/>
          <w:p>
            <w:pPr>
              <w:pStyle w:val="Compact"/>
            </w:pPr>
            <w:r>
              <w:t xml:space="preserve">1,147</w:t>
            </w:r>
          </w:p>
        </w:tc>
        <w:tc>
          <w:tcPr/>
          <w:p>
            <w:pPr>
              <w:pStyle w:val="Compact"/>
            </w:pPr>
            <w:r>
              <w:t xml:space="preserve">Of 1,148 athletes still in their career at 16 (final active season at 16 or later); complete case on model covariates</w:t>
            </w:r>
          </w:p>
        </w:tc>
      </w:tr>
      <w:tr>
        <w:tc>
          <w:tcPr/>
          <w:p>
            <w:pPr>
              <w:pStyle w:val="Compact"/>
            </w:pPr>
            <w:r>
              <w:t xml:space="preserve">Performance-trajectory comparison (Table S15)</w:t>
            </w:r>
          </w:p>
        </w:tc>
        <w:tc>
          <w:tcPr/>
          <w:p>
            <w:pPr>
              <w:pStyle w:val="Compact"/>
            </w:pPr>
            <w:r>
              <w:t xml:space="preserve">1,721</w:t>
            </w:r>
          </w:p>
        </w:tc>
        <w:tc>
          <w:tcPr/>
          <w:p>
            <w:pPr>
              <w:pStyle w:val="Compact"/>
            </w:pPr>
            <w:r>
              <w:t xml:space="preserve">Complete case on Tyrving at both age 13 and age 14</w:t>
            </w:r>
          </w:p>
        </w:tc>
      </w:tr>
      <w:tr>
        <w:tc>
          <w:tcPr/>
          <w:p>
            <w:pPr>
              <w:pStyle w:val="Compact"/>
            </w:pPr>
            <w:r>
              <w:t xml:space="preserve">Nested predictor subsets (Table S17)</w:t>
            </w:r>
          </w:p>
        </w:tc>
        <w:tc>
          <w:tcPr/>
          <w:p>
            <w:pPr>
              <w:pStyle w:val="Compact"/>
            </w:pPr>
            <w:r>
              <w:t xml:space="preserve">1,501</w:t>
            </w:r>
          </w:p>
        </w:tc>
        <w:tc>
          <w:tcPr/>
          <w:p>
            <w:pPr>
              <w:pStyle w:val="Compact"/>
            </w:pPr>
            <w:r>
              <w:t xml:space="preserve">Complete case on all 22 candidate predictors</w:t>
            </w:r>
          </w:p>
        </w:tc>
      </w:tr>
      <w:tr>
        <w:tc>
          <w:tcPr/>
          <w:p>
            <w:pPr>
              <w:pStyle w:val="Compact"/>
            </w:pPr>
            <w:r>
              <w:t xml:space="preserve">Multiple imputation</w:t>
            </w:r>
          </w:p>
        </w:tc>
        <w:tc>
          <w:tcPr/>
          <w:p>
            <w:pPr>
              <w:pStyle w:val="Compact"/>
            </w:pPr>
            <w:r>
              <w:t xml:space="preserve">2,136</w:t>
            </w:r>
          </w:p>
        </w:tc>
        <w:tc>
          <w:tcPr/>
          <w:p>
            <w:pPr>
              <w:pStyle w:val="Compact"/>
            </w:pPr>
            <w:r>
              <w:t xml:space="preserve">All athletes with known sex; Tyrving imputed (m = 20)</w:t>
            </w:r>
          </w:p>
        </w:tc>
      </w:tr>
      <w:tr>
        <w:tc>
          <w:tcPr/>
          <w:p>
            <w:pPr>
              <w:pStyle w:val="Compact"/>
            </w:pPr>
            <w:r>
              <w:t xml:space="preserve">Within-athlete fixed-effects model (Table S28)</w:t>
            </w:r>
          </w:p>
        </w:tc>
        <w:tc>
          <w:tcPr/>
          <w:p>
            <w:pPr>
              <w:pStyle w:val="Compact"/>
            </w:pPr>
            <w:r>
              <w:t xml:space="preserve">1,909</w:t>
            </w:r>
          </w:p>
        </w:tc>
        <w:tc>
          <w:tcPr/>
          <w:p>
            <w:pPr>
              <w:pStyle w:val="Compact"/>
            </w:pPr>
            <w:r>
              <w:t xml:space="preserve">Athletes with ≥2 athlete-seasons at ages 13–19 up to and including the final active season (8,490 athlete-seasons)</w:t>
            </w:r>
          </w:p>
        </w:tc>
      </w:tr>
      <w:tr>
        <w:tc>
          <w:tcPr/>
          <w:p>
            <w:pPr>
              <w:pStyle w:val="Compact"/>
            </w:pPr>
            <w:r>
              <w:t xml:space="preserve">Specialization confound models (S18 B/C)</w:t>
            </w:r>
          </w:p>
        </w:tc>
        <w:tc>
          <w:tcPr/>
          <w:p>
            <w:pPr>
              <w:pStyle w:val="Compact"/>
            </w:pPr>
            <w:r>
              <w:t xml:space="preserve">2,135 / 2,135</w:t>
            </w:r>
          </w:p>
        </w:tc>
        <w:tc>
          <w:tcPr/>
          <w:p>
            <w:pPr>
              <w:pStyle w:val="Compact"/>
            </w:pPr>
            <w:r>
              <w:t xml:space="preserve">Complete case on primary-category Tyrving</w:t>
            </w:r>
          </w:p>
        </w:tc>
      </w:tr>
    </w:tbl>
    <w:p>
      <w:pPr>
        <w:pStyle w:val="BodyText"/>
      </w:pPr>
      <w:r>
        <w:rPr>
          <w:i/>
          <w:iCs/>
        </w:rPr>
        <w:t xml:space="preserve">Note.</w:t>
      </w:r>
      <w:r>
        <w:t xml:space="preserve"> </w:t>
      </w:r>
      <w:r>
        <w:t xml:space="preserve">Map of the main analysis samples;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 (Panel A) and birth-quarter coding (Panel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0.54</w:t>
            </w:r>
          </w:p>
        </w:tc>
        <w:tc>
          <w:tcPr/>
          <w:p>
            <w:pPr>
              <w:pStyle w:val="Compact"/>
            </w:pPr>
            <w:r>
              <w:t xml:space="preserve">[0.42, 0.70]</w:t>
            </w:r>
          </w:p>
        </w:tc>
        <w:tc>
          <w:tcPr/>
          <w:p>
            <w:pPr>
              <w:pStyle w:val="Compact"/>
            </w:pPr>
            <w:r>
              <w:t xml:space="preserve">&lt; .001</w:t>
            </w:r>
          </w:p>
        </w:tc>
      </w:tr>
      <w:tr>
        <w:tc>
          <w:tcPr/>
          <w:p>
            <w:pPr>
              <w:pStyle w:val="Compact"/>
            </w:pPr>
            <w:r>
              <w:t xml:space="preserve">Tyrving (z)</w:t>
            </w:r>
          </w:p>
        </w:tc>
        <w:tc>
          <w:tcPr/>
          <w:p>
            <w:pPr>
              <w:pStyle w:val="Compact"/>
            </w:pPr>
            <w:r>
              <w:t xml:space="preserve">1.83</w:t>
            </w:r>
          </w:p>
        </w:tc>
        <w:tc>
          <w:tcPr/>
          <w:p>
            <w:pPr>
              <w:pStyle w:val="Compact"/>
            </w:pPr>
            <w:r>
              <w:t xml:space="preserve">[1.53, 2.18]</w:t>
            </w:r>
          </w:p>
        </w:tc>
        <w:tc>
          <w:tcPr/>
          <w:p>
            <w:pPr>
              <w:pStyle w:val="Compact"/>
            </w:pPr>
            <w:r>
              <w:t xml:space="preserve">&lt; .001</w:t>
            </w:r>
          </w:p>
        </w:tc>
      </w:tr>
      <w:tr>
        <w:tc>
          <w:tcPr/>
          <w:p>
            <w:pPr>
              <w:pStyle w:val="Compact"/>
            </w:pPr>
            <w:r>
              <w:t xml:space="preserve">HHI, ages 13–14 (z)</w:t>
            </w:r>
          </w:p>
        </w:tc>
        <w:tc>
          <w:tcPr/>
          <w:p>
            <w:pPr>
              <w:pStyle w:val="Compact"/>
            </w:pPr>
            <w:r>
              <w:t xml:space="preserve">1.16</w:t>
            </w:r>
          </w:p>
        </w:tc>
        <w:tc>
          <w:tcPr/>
          <w:p>
            <w:pPr>
              <w:pStyle w:val="Compact"/>
            </w:pPr>
            <w:r>
              <w:t xml:space="preserve">[1.02, 1.32]</w:t>
            </w:r>
          </w:p>
        </w:tc>
        <w:tc>
          <w:tcPr/>
          <w:p>
            <w:pPr>
              <w:pStyle w:val="Compact"/>
            </w:pPr>
            <w:r>
              <w:t xml:space="preserve">.020</w:t>
            </w:r>
          </w:p>
        </w:tc>
      </w:tr>
      <w:tr>
        <w:tc>
          <w:tcPr/>
          <w:p>
            <w:pPr>
              <w:pStyle w:val="Compact"/>
            </w:pPr>
            <w:r>
              <w:rPr>
                <w:b/>
                <w:bCs/>
              </w:rP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r>
      <w:tr>
        <w:tc>
          <w:tcPr/>
          <w:p>
            <w:pPr>
              <w:pStyle w:val="Compact"/>
            </w:pPr>
            <w:r>
              <w:t xml:space="preserve">Q1 born</w:t>
            </w:r>
          </w:p>
        </w:tc>
        <w:tc>
          <w:tcPr/>
          <w:p>
            <w:pPr>
              <w:pStyle w:val="Compact"/>
            </w:pPr>
            <w:r>
              <w:t xml:space="preserve">0.73</w:t>
            </w:r>
          </w:p>
        </w:tc>
        <w:tc>
          <w:tcPr/>
          <w:p>
            <w:pPr>
              <w:pStyle w:val="Compact"/>
            </w:pPr>
            <w:r>
              <w:t xml:space="preserve">[0.55, 0.98]</w:t>
            </w:r>
          </w:p>
        </w:tc>
        <w:tc>
          <w:tcPr/>
          <w:p>
            <w:pPr>
              <w:pStyle w:val="Compact"/>
            </w:pPr>
            <w:r>
              <w:t xml:space="preserve">.036</w:t>
            </w:r>
          </w:p>
        </w:tc>
      </w:tr>
      <w:tr>
        <w:tc>
          <w:tcPr/>
          <w:p>
            <w:pPr>
              <w:pStyle w:val="Compact"/>
            </w:pPr>
            <w:r>
              <w:t xml:space="preserve">Q4 born</w:t>
            </w:r>
          </w:p>
        </w:tc>
        <w:tc>
          <w:tcPr/>
          <w:p>
            <w:pPr>
              <w:pStyle w:val="Compact"/>
            </w:pPr>
            <w:r>
              <w:t xml:space="preserve">1.14</w:t>
            </w:r>
          </w:p>
        </w:tc>
        <w:tc>
          <w:tcPr/>
          <w:p>
            <w:pPr>
              <w:pStyle w:val="Compact"/>
            </w:pPr>
            <w:r>
              <w:t xml:space="preserve">[0.80, 1.64]</w:t>
            </w:r>
          </w:p>
        </w:tc>
        <w:tc>
          <w:tcPr/>
          <w:p>
            <w:pPr>
              <w:pStyle w:val="Compact"/>
            </w:pPr>
            <w:r>
              <w:t xml:space="preserve">.465</w:t>
            </w:r>
          </w:p>
        </w:tc>
      </w:tr>
      <w:tr>
        <w:tc>
          <w:tcPr/>
          <w:p>
            <w:pPr>
              <w:pStyle w:val="Compact"/>
            </w:pPr>
            <w:r>
              <w:t xml:space="preserve">Region: Østlandet</w:t>
            </w:r>
          </w:p>
        </w:tc>
        <w:tc>
          <w:tcPr/>
          <w:p>
            <w:pPr>
              <w:pStyle w:val="Compact"/>
            </w:pPr>
            <w:r>
              <w:t xml:space="preserve">1.29</w:t>
            </w:r>
          </w:p>
        </w:tc>
        <w:tc>
          <w:tcPr/>
          <w:p>
            <w:pPr>
              <w:pStyle w:val="Compact"/>
            </w:pPr>
            <w:r>
              <w:t xml:space="preserve">[0.96, 1.74]</w:t>
            </w:r>
          </w:p>
        </w:tc>
        <w:tc>
          <w:tcPr/>
          <w:p>
            <w:pPr>
              <w:pStyle w:val="Compact"/>
            </w:pPr>
            <w:r>
              <w:t xml:space="preserve">.095</w:t>
            </w:r>
          </w:p>
        </w:tc>
      </w:tr>
      <w:tr>
        <w:tc>
          <w:tcPr/>
          <w:p>
            <w:pPr>
              <w:pStyle w:val="Compact"/>
            </w:pPr>
            <w:r>
              <w:t xml:space="preserve">Region: Midt-Norge</w:t>
            </w:r>
          </w:p>
        </w:tc>
        <w:tc>
          <w:tcPr/>
          <w:p>
            <w:pPr>
              <w:pStyle w:val="Compact"/>
            </w:pPr>
            <w:r>
              <w:t xml:space="preserve">1.06</w:t>
            </w:r>
          </w:p>
        </w:tc>
        <w:tc>
          <w:tcPr/>
          <w:p>
            <w:pPr>
              <w:pStyle w:val="Compact"/>
            </w:pPr>
            <w:r>
              <w:t xml:space="preserve">[0.73, 1.53]</w:t>
            </w:r>
          </w:p>
        </w:tc>
        <w:tc>
          <w:tcPr/>
          <w:p>
            <w:pPr>
              <w:pStyle w:val="Compact"/>
            </w:pPr>
            <w:r>
              <w:t xml:space="preserve">.778</w:t>
            </w:r>
          </w:p>
        </w:tc>
      </w:tr>
      <w:tr>
        <w:tc>
          <w:tcPr/>
          <w:p>
            <w:pPr>
              <w:pStyle w:val="Compact"/>
            </w:pPr>
            <w:r>
              <w:t xml:space="preserve">Club size (z)</w:t>
            </w:r>
          </w:p>
        </w:tc>
        <w:tc>
          <w:tcPr/>
          <w:p>
            <w:pPr>
              <w:pStyle w:val="Compact"/>
            </w:pPr>
            <w:r>
              <w:t xml:space="preserve">0.94</w:t>
            </w:r>
          </w:p>
        </w:tc>
        <w:tc>
          <w:tcPr/>
          <w:p>
            <w:pPr>
              <w:pStyle w:val="Compact"/>
            </w:pPr>
            <w:r>
              <w:t xml:space="preserve">[0.83, 1.07]</w:t>
            </w:r>
          </w:p>
        </w:tc>
        <w:tc>
          <w:tcPr/>
          <w:p>
            <w:pPr>
              <w:pStyle w:val="Compact"/>
            </w:pPr>
            <w:r>
              <w:t xml:space="preserve">.363</w:t>
            </w:r>
          </w:p>
        </w:tc>
      </w:tr>
    </w:tbl>
    <w:p>
      <w:pPr>
        <w:pStyle w:val="BodyText"/>
      </w:pPr>
      <w:r>
        <w:rPr>
          <w:i/>
          <w:iCs/>
        </w:rPr>
        <w:t xml:space="preserve">Note.</w:t>
      </w:r>
      <w:r>
        <w:t xml:space="preserve"> </w:t>
      </w:r>
      <w:r>
        <w:t xml:space="preserve">n = 2,136. Panel A (as submitted): Q1 and Q4 indicators against Q2–Q3, the relative-age extremes; the 90 athletes registered with birth year but no birth date (none of whom retained) fall in the reference group. Pre-milestone volume effect unchanged: OR 2.07 with controls vs. 2.04 without. Of the structural controls only Q1 born reached p &lt; .05 (OR 0.73 [0.55, 0.98]). Region could not be determined for 2 athletes, who fall in the reference region (western Norway).</w:t>
      </w:r>
    </w:p>
    <w:p>
      <w:pPr>
        <w:pStyle w:val="BodyText"/>
      </w:pPr>
      <w:r>
        <w:rPr>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t xml:space="preserve">As submitted: Q1 and Q4 indicators vs. Q2–Q3 (unknown quarter coded to the reference)</w:t>
            </w:r>
          </w:p>
        </w:tc>
        <w:tc>
          <w:tcPr/>
          <w:p>
            <w:pPr>
              <w:pStyle w:val="Compact"/>
            </w:pPr>
            <w:r>
              <w:t xml:space="preserve">Q1 (Jan–Mar)</w:t>
            </w:r>
          </w:p>
        </w:tc>
        <w:tc>
          <w:tcPr/>
          <w:p>
            <w:pPr>
              <w:pStyle w:val="Compact"/>
            </w:pPr>
            <w:r>
              <w:t xml:space="preserve">0.73</w:t>
            </w:r>
          </w:p>
        </w:tc>
        <w:tc>
          <w:tcPr/>
          <w:p>
            <w:pPr>
              <w:pStyle w:val="Compact"/>
            </w:pPr>
            <w:r>
              <w:t xml:space="preserve">[0.55, 0.98]</w:t>
            </w:r>
          </w:p>
        </w:tc>
        <w:tc>
          <w:tcPr/>
          <w:p>
            <w:pPr>
              <w:pStyle w:val="Compact"/>
            </w:pPr>
            <w:r>
              <w:t xml:space="preserve">.036</w:t>
            </w:r>
          </w:p>
        </w:tc>
        <w:tc>
          <w:tcPr/>
          <w:p>
            <w:pPr>
              <w:pStyle w:val="Compact"/>
            </w:pPr>
            <w:r>
              <w:t xml:space="preserve">χ²(2) = 6.32, p = .042</w:t>
            </w:r>
          </w:p>
        </w:tc>
        <w:tc>
          <w:tcPr/>
          <w:p>
            <w:pPr>
              <w:pStyle w:val="Compact"/>
            </w:pPr>
            <w:r>
              <w:t xml:space="preserve">2,136</w:t>
            </w:r>
          </w:p>
        </w:tc>
      </w:tr>
      <w:tr>
        <w:tc>
          <w:tcPr/>
          <w:p>
            <w:pPr>
              <w:pStyle w:val="Compact"/>
            </w:pPr>
          </w:p>
        </w:tc>
        <w:tc>
          <w:tcPr/>
          <w:p>
            <w:pPr>
              <w:pStyle w:val="Compact"/>
            </w:pPr>
            <w:r>
              <w:t xml:space="preserve">Q4 (Oct–Dec)</w:t>
            </w:r>
          </w:p>
        </w:tc>
        <w:tc>
          <w:tcPr/>
          <w:p>
            <w:pPr>
              <w:pStyle w:val="Compact"/>
            </w:pPr>
            <w:r>
              <w:t xml:space="preserve">1.14</w:t>
            </w:r>
          </w:p>
        </w:tc>
        <w:tc>
          <w:tcPr/>
          <w:p>
            <w:pPr>
              <w:pStyle w:val="Compact"/>
            </w:pPr>
            <w:r>
              <w:t xml:space="preserve">[0.80, 1.64]</w:t>
            </w:r>
          </w:p>
        </w:tc>
        <w:tc>
          <w:tcPr/>
          <w:p>
            <w:pPr>
              <w:pStyle w:val="Compact"/>
            </w:pPr>
            <w:r>
              <w:t xml:space="preserve">.465</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c>
          <w:tcPr/>
          <w:p>
            <w:pPr>
              <w:pStyle w:val="Compact"/>
            </w:pPr>
          </w:p>
        </w:tc>
        <w:tc>
          <w:tcPr/>
          <w:p>
            <w:pPr>
              <w:pStyle w:val="Compact"/>
            </w:pPr>
          </w:p>
        </w:tc>
      </w:tr>
      <w:tr>
        <w:tc>
          <w:tcPr/>
          <w:p>
            <w:pPr>
              <w:pStyle w:val="Compact"/>
            </w:pPr>
            <w:r>
              <w:t xml:space="preserve">Q1 and Q4 indicators vs. Q2–Q3, known quarter only</w:t>
            </w:r>
          </w:p>
        </w:tc>
        <w:tc>
          <w:tcPr/>
          <w:p>
            <w:pPr>
              <w:pStyle w:val="Compact"/>
            </w:pPr>
            <w:r>
              <w:t xml:space="preserve">Q1 (Jan–Mar)</w:t>
            </w:r>
          </w:p>
        </w:tc>
        <w:tc>
          <w:tcPr/>
          <w:p>
            <w:pPr>
              <w:pStyle w:val="Compact"/>
            </w:pPr>
            <w:r>
              <w:t xml:space="preserve">0.70</w:t>
            </w:r>
          </w:p>
        </w:tc>
        <w:tc>
          <w:tcPr/>
          <w:p>
            <w:pPr>
              <w:pStyle w:val="Compact"/>
            </w:pPr>
            <w:r>
              <w:t xml:space="preserve">[0.53, 0.94]</w:t>
            </w:r>
          </w:p>
        </w:tc>
        <w:tc>
          <w:tcPr/>
          <w:p>
            <w:pPr>
              <w:pStyle w:val="Compact"/>
            </w:pPr>
            <w:r>
              <w:t xml:space="preserve">.017</w:t>
            </w:r>
          </w:p>
        </w:tc>
        <w:tc>
          <w:tcPr/>
          <w:p>
            <w:pPr>
              <w:pStyle w:val="Compact"/>
            </w:pPr>
            <w:r>
              <w:t xml:space="preserve">χ²(2) = 7.17, p = .028</w:t>
            </w:r>
          </w:p>
        </w:tc>
        <w:tc>
          <w:tcPr/>
          <w:p>
            <w:pPr>
              <w:pStyle w:val="Compact"/>
            </w:pPr>
            <w:r>
              <w:t xml:space="preserve">2,046</w:t>
            </w:r>
          </w:p>
        </w:tc>
      </w:tr>
      <w:tr>
        <w:tc>
          <w:tcPr/>
          <w:p>
            <w:pPr>
              <w:pStyle w:val="Compact"/>
            </w:pPr>
          </w:p>
        </w:tc>
        <w:tc>
          <w:tcPr/>
          <w:p>
            <w:pPr>
              <w:pStyle w:val="Compact"/>
            </w:pPr>
            <w:r>
              <w:t xml:space="preserve">Q4 (Oct–Dec)</w:t>
            </w:r>
          </w:p>
        </w:tc>
        <w:tc>
          <w:tcPr/>
          <w:p>
            <w:pPr>
              <w:pStyle w:val="Compact"/>
            </w:pPr>
            <w:r>
              <w:t xml:space="preserve">1.08</w:t>
            </w:r>
          </w:p>
        </w:tc>
        <w:tc>
          <w:tcPr/>
          <w:p>
            <w:pPr>
              <w:pStyle w:val="Compact"/>
            </w:pPr>
            <w:r>
              <w:t xml:space="preserve">[0.76, 1.55]</w:t>
            </w:r>
          </w:p>
        </w:tc>
        <w:tc>
          <w:tcPr/>
          <w:p>
            <w:pPr>
              <w:pStyle w:val="Compact"/>
            </w:pPr>
            <w:r>
              <w:t xml:space="preserve">.659</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2.31]</w:t>
            </w:r>
          </w:p>
        </w:tc>
        <w:tc>
          <w:tcPr/>
          <w:p>
            <w:pPr>
              <w:pStyle w:val="Compact"/>
            </w:pPr>
            <w:r>
              <w:t xml:space="preserve">&lt; .001</w:t>
            </w:r>
          </w:p>
        </w:tc>
        <w:tc>
          <w:tcPr/>
          <w:p>
            <w:pPr>
              <w:pStyle w:val="Compact"/>
            </w:pPr>
          </w:p>
        </w:tc>
        <w:tc>
          <w:tcPr/>
          <w:p>
            <w:pPr>
              <w:pStyle w:val="Compact"/>
            </w:pPr>
          </w:p>
        </w:tc>
      </w:tr>
      <w:tr>
        <w:tc>
          <w:tcPr/>
          <w:p>
            <w:pPr>
              <w:pStyle w:val="Compact"/>
            </w:pPr>
            <w:r>
              <w:t xml:space="preserve">Full coding: Q2, Q3, Q4 vs. Q1, known quarter only</w:t>
            </w:r>
          </w:p>
        </w:tc>
        <w:tc>
          <w:tcPr/>
          <w:p>
            <w:pPr>
              <w:pStyle w:val="Compact"/>
            </w:pPr>
            <w:r>
              <w:t xml:space="preserve">Q2 (Apr–Jun)</w:t>
            </w:r>
          </w:p>
        </w:tc>
        <w:tc>
          <w:tcPr/>
          <w:p>
            <w:pPr>
              <w:pStyle w:val="Compact"/>
            </w:pPr>
            <w:r>
              <w:t xml:space="preserve">1.37</w:t>
            </w:r>
          </w:p>
        </w:tc>
        <w:tc>
          <w:tcPr/>
          <w:p>
            <w:pPr>
              <w:pStyle w:val="Compact"/>
            </w:pPr>
            <w:r>
              <w:t xml:space="preserve">[0.99, 1.90]</w:t>
            </w:r>
          </w:p>
        </w:tc>
        <w:tc>
          <w:tcPr/>
          <w:p>
            <w:pPr>
              <w:pStyle w:val="Compact"/>
            </w:pPr>
            <w:r>
              <w:t xml:space="preserve">.061</w:t>
            </w:r>
          </w:p>
        </w:tc>
        <w:tc>
          <w:tcPr/>
          <w:p>
            <w:pPr>
              <w:pStyle w:val="Compact"/>
            </w:pPr>
            <w:r>
              <w:t xml:space="preserve">χ²(3) = 7.45, p = .059</w:t>
            </w:r>
          </w:p>
        </w:tc>
        <w:tc>
          <w:tcPr/>
          <w:p>
            <w:pPr>
              <w:pStyle w:val="Compact"/>
            </w:pPr>
            <w:r>
              <w:t xml:space="preserve">2,046</w:t>
            </w:r>
          </w:p>
        </w:tc>
      </w:tr>
      <w:tr>
        <w:tc>
          <w:tcPr/>
          <w:p>
            <w:pPr>
              <w:pStyle w:val="Compact"/>
            </w:pPr>
          </w:p>
        </w:tc>
        <w:tc>
          <w:tcPr/>
          <w:p>
            <w:pPr>
              <w:pStyle w:val="Compact"/>
            </w:pPr>
            <w:r>
              <w:t xml:space="preserve">Q3 (Jul–Sep)</w:t>
            </w:r>
          </w:p>
        </w:tc>
        <w:tc>
          <w:tcPr/>
          <w:p>
            <w:pPr>
              <w:pStyle w:val="Compact"/>
            </w:pPr>
            <w:r>
              <w:t xml:space="preserve">1.50</w:t>
            </w:r>
          </w:p>
        </w:tc>
        <w:tc>
          <w:tcPr/>
          <w:p>
            <w:pPr>
              <w:pStyle w:val="Compact"/>
            </w:pPr>
            <w:r>
              <w:t xml:space="preserve">[1.06, 2.13]</w:t>
            </w:r>
          </w:p>
        </w:tc>
        <w:tc>
          <w:tcPr/>
          <w:p>
            <w:pPr>
              <w:pStyle w:val="Compact"/>
            </w:pPr>
            <w:r>
              <w:t xml:space="preserve">.022</w:t>
            </w:r>
          </w:p>
        </w:tc>
        <w:tc>
          <w:tcPr/>
          <w:p>
            <w:pPr>
              <w:pStyle w:val="Compact"/>
            </w:pPr>
          </w:p>
        </w:tc>
        <w:tc>
          <w:tcPr/>
          <w:p>
            <w:pPr>
              <w:pStyle w:val="Compact"/>
            </w:pPr>
          </w:p>
        </w:tc>
      </w:tr>
      <w:tr>
        <w:tc>
          <w:tcPr/>
          <w:p>
            <w:pPr>
              <w:pStyle w:val="Compact"/>
            </w:pPr>
          </w:p>
        </w:tc>
        <w:tc>
          <w:tcPr/>
          <w:p>
            <w:pPr>
              <w:pStyle w:val="Compact"/>
            </w:pPr>
            <w:r>
              <w:t xml:space="preserve">Q4 (Oct–Dec)</w:t>
            </w:r>
          </w:p>
        </w:tc>
        <w:tc>
          <w:tcPr/>
          <w:p>
            <w:pPr>
              <w:pStyle w:val="Compact"/>
            </w:pPr>
            <w:r>
              <w:t xml:space="preserve">1.54</w:t>
            </w:r>
          </w:p>
        </w:tc>
        <w:tc>
          <w:tcPr/>
          <w:p>
            <w:pPr>
              <w:pStyle w:val="Compact"/>
            </w:pPr>
            <w:r>
              <w:t xml:space="preserve">[1.04, 2.30]</w:t>
            </w:r>
          </w:p>
        </w:tc>
        <w:tc>
          <w:tcPr/>
          <w:p>
            <w:pPr>
              <w:pStyle w:val="Compact"/>
            </w:pPr>
            <w:r>
              <w:t xml:space="preserve">.032</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2.30]</w:t>
            </w:r>
          </w:p>
        </w:tc>
        <w:tc>
          <w:tcPr/>
          <w:p>
            <w:pPr>
              <w:pStyle w:val="Compact"/>
            </w:pPr>
            <w:r>
              <w:t xml:space="preserve">&lt; .001</w:t>
            </w:r>
          </w:p>
        </w:tc>
        <w:tc>
          <w:tcPr/>
          <w:p>
            <w:pPr>
              <w:pStyle w:val="Compact"/>
            </w:pPr>
          </w:p>
        </w:tc>
        <w:tc>
          <w:tcPr/>
          <w:p>
            <w:pPr>
              <w:pStyle w:val="Compact"/>
            </w:pPr>
          </w:p>
        </w:tc>
      </w:tr>
      <w:tr>
        <w:tc>
          <w:tcPr/>
          <w:p>
            <w:pPr>
              <w:pStyle w:val="Compact"/>
            </w:pPr>
            <w:r>
              <w:t xml:space="preserve">Linear trend across quarters 1–4, known quarter only</w:t>
            </w:r>
          </w:p>
        </w:tc>
        <w:tc>
          <w:tcPr/>
          <w:p>
            <w:pPr>
              <w:pStyle w:val="Compact"/>
            </w:pPr>
            <w:r>
              <w:t xml:space="preserve">Quarter (linear, 1–4)</w:t>
            </w:r>
          </w:p>
        </w:tc>
        <w:tc>
          <w:tcPr/>
          <w:p>
            <w:pPr>
              <w:pStyle w:val="Compact"/>
            </w:pPr>
            <w:r>
              <w:t xml:space="preserve">1.16</w:t>
            </w:r>
          </w:p>
        </w:tc>
        <w:tc>
          <w:tcPr/>
          <w:p>
            <w:pPr>
              <w:pStyle w:val="Compact"/>
            </w:pPr>
            <w:r>
              <w:t xml:space="preserve">[1.03, 1.31]</w:t>
            </w:r>
          </w:p>
        </w:tc>
        <w:tc>
          <w:tcPr/>
          <w:p>
            <w:pPr>
              <w:pStyle w:val="Compact"/>
            </w:pPr>
            <w:r>
              <w:t xml:space="preserve">.013</w:t>
            </w:r>
          </w:p>
        </w:tc>
        <w:tc>
          <w:tcPr/>
          <w:p>
            <w:pPr>
              <w:pStyle w:val="Compact"/>
            </w:pPr>
            <w:r>
              <w:t xml:space="preserve">χ²(1) = 6.11, p = .013</w:t>
            </w:r>
          </w:p>
        </w:tc>
        <w:tc>
          <w:tcPr/>
          <w:p>
            <w:pPr>
              <w:pStyle w:val="Compact"/>
            </w:pPr>
            <w:r>
              <w:t xml:space="preserve">2,046</w:t>
            </w:r>
          </w:p>
        </w:tc>
      </w:tr>
      <w:tr>
        <w:tc>
          <w:tcPr/>
          <w:p>
            <w:pPr>
              <w:pStyle w:val="Compact"/>
            </w:pPr>
          </w:p>
        </w:tc>
        <w:tc>
          <w:tcPr/>
          <w:p>
            <w:pPr>
              <w:pStyle w:val="Compact"/>
            </w:pPr>
            <w:r>
              <w:t xml:space="preserve">Pre-milestone volume (z)</w:t>
            </w:r>
          </w:p>
        </w:tc>
        <w:tc>
          <w:tcPr/>
          <w:p>
            <w:pPr>
              <w:pStyle w:val="Compact"/>
            </w:pPr>
            <w:r>
              <w:t xml:space="preserve">2.01</w:t>
            </w:r>
          </w:p>
        </w:tc>
        <w:tc>
          <w:tcPr/>
          <w:p>
            <w:pPr>
              <w:pStyle w:val="Compact"/>
            </w:pPr>
            <w:r>
              <w:t xml:space="preserve">[1.76, 2.30]</w:t>
            </w:r>
          </w:p>
        </w:tc>
        <w:tc>
          <w:tcPr/>
          <w:p>
            <w:pPr>
              <w:pStyle w:val="Compact"/>
            </w:pPr>
            <w:r>
              <w:t xml:space="preserve">&lt; .001</w:t>
            </w:r>
          </w:p>
        </w:tc>
        <w:tc>
          <w:tcPr/>
          <w:p>
            <w:pPr>
              <w:pStyle w:val="Compact"/>
            </w:pPr>
          </w:p>
        </w:tc>
        <w:tc>
          <w:tcPr/>
          <w:p>
            <w:pPr>
              <w:pStyle w:val="Compact"/>
            </w:pPr>
          </w:p>
        </w:tc>
      </w:tr>
    </w:tbl>
    <w:p>
      <w:pPr>
        <w:pStyle w:val="BodyText"/>
      </w:pPr>
      <w: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 Level-versus-change analysis details (athletes with ≥1 result at age 14; complete-case n = 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c>
          <w:tcPr/>
          <w:p>
            <w:pPr>
              <w:pStyle w:val="Compact"/>
            </w:pPr>
            <w:r>
              <w:t xml:space="preserve">0.150</w:t>
            </w:r>
          </w:p>
        </w:tc>
        <w:tc>
          <w:tcPr/>
          <w:p>
            <w:pPr>
              <w:pStyle w:val="Compact"/>
            </w:pPr>
            <w:r>
              <w:t xml:space="preserve">0.763</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2.05</w:t>
            </w:r>
          </w:p>
        </w:tc>
        <w:tc>
          <w:tcPr/>
          <w:p>
            <w:pPr>
              <w:pStyle w:val="Compact"/>
            </w:pPr>
            <w: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c>
          <w:tcPr/>
          <w:p>
            <w:pPr>
              <w:pStyle w:val="Compact"/>
            </w:pPr>
            <w:r>
              <w:t xml:space="preserve">0.245</w:t>
            </w:r>
          </w:p>
        </w:tc>
        <w:tc>
          <w:tcPr/>
          <w:p>
            <w:pPr>
              <w:pStyle w:val="Compact"/>
            </w:pPr>
            <w:r>
              <w:t xml:space="preserve">0.833</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2.51</w:t>
            </w:r>
          </w:p>
        </w:tc>
        <w:tc>
          <w:tcPr/>
          <w:p>
            <w:pPr>
              <w:pStyle w:val="Compact"/>
            </w:pPr>
            <w: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t xml:space="preserve">2.29</w:t>
            </w:r>
          </w:p>
        </w:tc>
        <w:tc>
          <w:tcPr/>
          <w:p>
            <w:pPr>
              <w:pStyle w:val="Compact"/>
            </w:pPr>
            <w: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 with repeated cross-validated AUC. Change = volume at 15 minus volume at 14.</w:t>
      </w:r>
    </w:p>
    <w:p>
      <w:r>
        <w:pict>
          <v:rect style="width:0;height:1.5pt" o:hralign="center" o:hrstd="t" o:hr="t"/>
        </w:pict>
      </w:r>
    </w:p>
    <w:bookmarkEnd w:id="37"/>
    <w:bookmarkStart w:id="38" w:name="Xdb0524e60331b00b314991104db8094c3fd0d54"/>
    <w:p>
      <w:pPr>
        <w:pStyle w:val="Heading2"/>
      </w:pPr>
      <w:r>
        <w:t xml:space="preserve">Table S15. Baseline-window behavior versus performance (repeated 5-fold CV-AUC)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t xml:space="preserve">2,136</w:t>
            </w:r>
          </w:p>
        </w:tc>
        <w:tc>
          <w:tcPr/>
          <w:p>
            <w:pPr>
              <w:pStyle w:val="Compact"/>
            </w:pPr>
            <w:r>
              <w:t xml:space="preserve">0.700</w:t>
            </w:r>
          </w:p>
        </w:tc>
      </w:tr>
      <w:tr>
        <w:tc>
          <w:tcPr/>
          <w:p>
            <w:pPr>
              <w:pStyle w:val="Compact"/>
            </w:pPr>
            <w:r>
              <w:t xml:space="preserve">Sex + Tyrving + performance trajectory (Δ13–14)</w:t>
            </w:r>
          </w:p>
        </w:tc>
        <w:tc>
          <w:tcPr/>
          <w:p>
            <w:pPr>
              <w:pStyle w:val="Compact"/>
            </w:pPr>
            <w:r>
              <w:t xml:space="preserve">1,721</w:t>
            </w:r>
          </w:p>
        </w:tc>
        <w:tc>
          <w:tcPr/>
          <w:p>
            <w:pPr>
              <w:pStyle w:val="Compact"/>
            </w:pPr>
            <w:r>
              <w:t xml:space="preserve">0.737</w:t>
            </w:r>
          </w:p>
        </w:tc>
      </w:tr>
      <w:tr>
        <w:tc>
          <w:tcPr/>
          <w:p>
            <w:pPr>
              <w:pStyle w:val="Compact"/>
            </w:pPr>
            <w:r>
              <w:t xml:space="preserve">Sex + within-event percentile at the baseline meet</w:t>
            </w:r>
          </w:p>
        </w:tc>
        <w:tc>
          <w:tcPr/>
          <w:p>
            <w:pPr>
              <w:pStyle w:val="Compact"/>
            </w:pPr>
            <w:r>
              <w:t xml:space="preserve">2,136</w:t>
            </w:r>
          </w:p>
        </w:tc>
        <w:tc>
          <w:tcPr/>
          <w:p>
            <w:pPr>
              <w:pStyle w:val="Compact"/>
            </w:pPr>
            <w:r>
              <w:t xml:space="preserve">0.689</w:t>
            </w:r>
          </w:p>
        </w:tc>
      </w:tr>
      <w:tr>
        <w:tc>
          <w:tcPr/>
          <w:p>
            <w:pPr>
              <w:pStyle w:val="Compact"/>
            </w:pPr>
            <w:r>
              <w:t xml:space="preserve">Sex + pre-milestone volume</w:t>
            </w:r>
          </w:p>
        </w:tc>
        <w:tc>
          <w:tcPr/>
          <w:p>
            <w:pPr>
              <w:pStyle w:val="Compact"/>
            </w:pPr>
            <w:r>
              <w:t xml:space="preserve">2,136</w:t>
            </w:r>
          </w:p>
        </w:tc>
        <w:tc>
          <w:tcPr/>
          <w:p>
            <w:pPr>
              <w:pStyle w:val="Compact"/>
            </w:pPr>
            <w:r>
              <w:t xml:space="preserve">0.740</w:t>
            </w:r>
          </w:p>
        </w:tc>
      </w:tr>
      <w:tr>
        <w:tc>
          <w:tcPr/>
          <w:p>
            <w:pPr>
              <w:pStyle w:val="Compact"/>
            </w:pPr>
            <w:r>
              <w:t xml:space="preserve">Sex + pre-milestone volume (trajectory subsample)</w:t>
            </w:r>
          </w:p>
        </w:tc>
        <w:tc>
          <w:tcPr/>
          <w:p>
            <w:pPr>
              <w:pStyle w:val="Compact"/>
            </w:pPr>
            <w:r>
              <w:t xml:space="preserve">1,721</w:t>
            </w:r>
          </w:p>
        </w:tc>
        <w:tc>
          <w:tcPr/>
          <w:p>
            <w:pPr>
              <w:pStyle w:val="Compact"/>
            </w:pPr>
            <w:r>
              <w:t xml:space="preserve">0.736</w:t>
            </w:r>
          </w:p>
        </w:tc>
      </w:tr>
      <w:tr>
        <w:tc>
          <w:tcPr/>
          <w:p>
            <w:pPr>
              <w:pStyle w:val="Compact"/>
            </w:pPr>
            <w:r>
              <w:t xml:space="preserve">Sex + Tyrving + pre-milestone volume</w:t>
            </w:r>
          </w:p>
        </w:tc>
        <w:tc>
          <w:tcPr/>
          <w:p>
            <w:pPr>
              <w:pStyle w:val="Compact"/>
            </w:pPr>
            <w:r>
              <w:t xml:space="preserve">2,136</w:t>
            </w:r>
          </w:p>
        </w:tc>
        <w:tc>
          <w:tcPr/>
          <w:p>
            <w:pPr>
              <w:pStyle w:val="Compact"/>
            </w:pPr>
            <w:r>
              <w:t xml:space="preserve">0.763</w:t>
            </w:r>
          </w:p>
        </w:tc>
      </w:tr>
    </w:tbl>
    <w:p>
      <w:pPr>
        <w:pStyle w:val="BodyText"/>
      </w:pPr>
      <w:r>
        <w:rPr>
          <w:i/>
          <w:iCs/>
        </w:rPr>
        <w:t xml:space="preserve">Note.</w:t>
      </w:r>
      <w:r>
        <w:t xml:space="preserve"> </w:t>
      </w:r>
      <w:r>
        <w:t xml:space="preserve">Both predictors are observed during the baseline window (ages 13–14). Volume versus baseline Tyrving: difference 0.040 (95% CI 0.006 to 0.074); adding Tyrving to volume: 0.023 (95% CI 0.007 to 0.038); volume versus Tyrving with its within-baseline trajectory (subsample with Tyrving at both ages): −0.001 (95% CI −0.042 to 0.039); volume versus the within-event percentile at the meet: 0.051 (95% CI 0.019 to 0.083). Differences with 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[1.12, 1.36]</w:t>
            </w:r>
          </w:p>
        </w:tc>
        <w:tc>
          <w:tcPr/>
          <w:p>
            <w:pPr>
              <w:pStyle w:val="Compact"/>
            </w:pPr>
            <w:r>
              <w:t xml:space="preserve">&lt; .001</w:t>
            </w:r>
          </w:p>
        </w:tc>
      </w:tr>
      <w:tr>
        <w:tc>
          <w:tcPr/>
          <w:p>
            <w:pPr>
              <w:pStyle w:val="Compact"/>
            </w:pPr>
            <w:r>
              <w:t xml:space="preserve">Tyrving (z)</w:t>
            </w:r>
          </w:p>
        </w:tc>
        <w:tc>
          <w:tcPr/>
          <w:p>
            <w:pPr>
              <w:pStyle w:val="Compact"/>
            </w:pPr>
            <w:r>
              <w:t xml:space="preserve">0.81</w:t>
            </w:r>
          </w:p>
        </w:tc>
        <w:tc>
          <w:tcPr/>
          <w:p>
            <w:pPr>
              <w:pStyle w:val="Compact"/>
            </w:pPr>
            <w:r>
              <w:t xml:space="preserve">[0.77, 0.85]</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[0.61, 0.69]</w:t>
            </w:r>
          </w:p>
        </w:tc>
        <w:tc>
          <w:tcPr/>
          <w:p>
            <w:pPr>
              <w:pStyle w:val="Compact"/>
            </w:pPr>
            <w:r>
              <w:t xml:space="preserve">&lt; .001</w:t>
            </w:r>
          </w:p>
        </w:tc>
      </w:tr>
      <w:tr>
        <w:tc>
          <w:tcPr/>
          <w:p>
            <w:pPr>
              <w:pStyle w:val="Compact"/>
            </w:pPr>
            <w:r>
              <w:t xml:space="preserve">Q1 born</w:t>
            </w:r>
          </w:p>
        </w:tc>
        <w:tc>
          <w:tcPr/>
          <w:p>
            <w:pPr>
              <w:pStyle w:val="Compact"/>
            </w:pPr>
            <w:r>
              <w:t xml:space="preserve">1.12</w:t>
            </w:r>
          </w:p>
        </w:tc>
        <w:tc>
          <w:tcPr/>
          <w:p>
            <w:pPr>
              <w:pStyle w:val="Compact"/>
            </w:pPr>
            <w:r>
              <w:t xml:space="preserve">[1.01, 1.24]</w:t>
            </w:r>
          </w:p>
        </w:tc>
        <w:tc>
          <w:tcPr/>
          <w:p>
            <w:pPr>
              <w:pStyle w:val="Compact"/>
            </w:pPr>
            <w:r>
              <w:t xml:space="preserve">.040</w:t>
            </w:r>
          </w:p>
        </w:tc>
      </w:tr>
      <w:tr>
        <w:tc>
          <w:tcPr/>
          <w:p>
            <w:pPr>
              <w:pStyle w:val="Compact"/>
            </w:pPr>
            <w:r>
              <w:t xml:space="preserve">Q4 born</w:t>
            </w:r>
          </w:p>
        </w:tc>
        <w:tc>
          <w:tcPr/>
          <w:p>
            <w:pPr>
              <w:pStyle w:val="Compact"/>
            </w:pPr>
            <w:r>
              <w:t xml:space="preserve">0.86</w:t>
            </w:r>
          </w:p>
        </w:tc>
        <w:tc>
          <w:tcPr/>
          <w:p>
            <w:pPr>
              <w:pStyle w:val="Compact"/>
            </w:pPr>
            <w:r>
              <w:t xml:space="preserve">[0.75, 0.98]</w:t>
            </w:r>
          </w:p>
        </w:tc>
        <w:tc>
          <w:tcPr/>
          <w:p>
            <w:pPr>
              <w:pStyle w:val="Compact"/>
            </w:pPr>
            <w:r>
              <w:t xml:space="preserve">.026</w:t>
            </w:r>
          </w:p>
        </w:tc>
      </w:tr>
      <w:tr>
        <w:tc>
          <w:tcPr/>
          <w:p>
            <w:pPr>
              <w:pStyle w:val="Compact"/>
            </w:pPr>
            <w:r>
              <w:t xml:space="preserve">Region: Østlandet</w:t>
            </w:r>
          </w:p>
        </w:tc>
        <w:tc>
          <w:tcPr/>
          <w:p>
            <w:pPr>
              <w:pStyle w:val="Compact"/>
            </w:pPr>
            <w:r>
              <w:t xml:space="preserve">0.94</w:t>
            </w:r>
          </w:p>
        </w:tc>
        <w:tc>
          <w:tcPr/>
          <w:p>
            <w:pPr>
              <w:pStyle w:val="Compact"/>
            </w:pPr>
            <w:r>
              <w:t xml:space="preserve">[0.84, 1.06]</w:t>
            </w:r>
          </w:p>
        </w:tc>
        <w:tc>
          <w:tcPr/>
          <w:p>
            <w:pPr>
              <w:pStyle w:val="Compact"/>
            </w:pPr>
            <w:r>
              <w:t xml:space="preserve">.310</w:t>
            </w:r>
          </w:p>
        </w:tc>
      </w:tr>
      <w:tr>
        <w:tc>
          <w:tcPr/>
          <w:p>
            <w:pPr>
              <w:pStyle w:val="Compact"/>
            </w:pPr>
            <w:r>
              <w:t xml:space="preserve">Region: Midt-Norge</w:t>
            </w:r>
          </w:p>
        </w:tc>
        <w:tc>
          <w:tcPr/>
          <w:p>
            <w:pPr>
              <w:pStyle w:val="Compact"/>
            </w:pPr>
            <w:r>
              <w:t xml:space="preserve">1.01</w:t>
            </w:r>
          </w:p>
        </w:tc>
        <w:tc>
          <w:tcPr/>
          <w:p>
            <w:pPr>
              <w:pStyle w:val="Compact"/>
            </w:pPr>
            <w:r>
              <w:t xml:space="preserve">[0.88, 1.15]</w:t>
            </w:r>
          </w:p>
        </w:tc>
        <w:tc>
          <w:tcPr/>
          <w:p>
            <w:pPr>
              <w:pStyle w:val="Compact"/>
            </w:pPr>
            <w:r>
              <w:t xml:space="preserve">.932</w:t>
            </w:r>
          </w:p>
        </w:tc>
      </w:tr>
      <w:tr>
        <w:tc>
          <w:tcPr/>
          <w:p>
            <w:pPr>
              <w:pStyle w:val="Compact"/>
            </w:pPr>
            <w:r>
              <w:t xml:space="preserve">Club size (z)</w:t>
            </w:r>
          </w:p>
        </w:tc>
        <w:tc>
          <w:tcPr/>
          <w:p>
            <w:pPr>
              <w:pStyle w:val="Compact"/>
            </w:pPr>
            <w:r>
              <w:t xml:space="preserve">1.02</w:t>
            </w:r>
          </w:p>
        </w:tc>
        <w:tc>
          <w:tcPr/>
          <w:p>
            <w:pPr>
              <w:pStyle w:val="Compact"/>
            </w:pPr>
            <w:r>
              <w:t xml:space="preserve">[0.97, 1.08]</w:t>
            </w:r>
          </w:p>
        </w:tc>
        <w:tc>
          <w:tcPr/>
          <w:p>
            <w:pPr>
              <w:pStyle w:val="Compact"/>
            </w:pPr>
            <w:r>
              <w:t xml:space="preserve">.344</w:t>
            </w:r>
          </w:p>
        </w:tc>
      </w:tr>
    </w:tbl>
    <w:p>
      <w:pPr>
        <w:pStyle w:val="BodyText"/>
      </w:pPr>
      <w:r>
        <w:rPr>
          <w:i/>
          <w:iCs/>
        </w:rPr>
        <w:t xml:space="preserve">Note.</w:t>
      </w:r>
      <w:r>
        <w:t xml:space="preserve"> </w:t>
      </w:r>
      <w:r>
        <w:t xml:space="preserve">n = 1,908 (1,747 events); C-index = 0.691; time zero at the end of the age-14 season (Supplementary Table S10 note). 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t xml:space="preserve">1,501</w:t>
            </w:r>
          </w:p>
        </w:tc>
        <w:tc>
          <w:tcPr/>
          <w:p>
            <w:pPr>
              <w:pStyle w:val="Compact"/>
            </w:pPr>
            <w: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1,501</w:t>
            </w:r>
          </w:p>
        </w:tc>
        <w:tc>
          <w:tcPr/>
          <w:p>
            <w:pPr>
              <w:pStyle w:val="Compact"/>
            </w:pPr>
            <w: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t xml:space="preserve">1,501</w:t>
            </w:r>
          </w:p>
        </w:tc>
        <w:tc>
          <w:tcPr/>
          <w:p>
            <w:pPr>
              <w:pStyle w:val="Compact"/>
            </w:pPr>
            <w:r>
              <w:t xml:space="preserve">0.83 (±0.01)</w:t>
            </w:r>
          </w:p>
        </w:tc>
      </w:tr>
      <w:tr>
        <w:tc>
          <w:tcPr/>
          <w:p>
            <w:pPr>
              <w:pStyle w:val="Compact"/>
            </w:pPr>
            <w:r>
              <w:t xml:space="preserve">Volume + specialization (behavioral, ages 13–16)</w:t>
            </w:r>
          </w:p>
        </w:tc>
        <w:tc>
          <w:tcPr/>
          <w:p>
            <w:pPr>
              <w:pStyle w:val="Compact"/>
            </w:pPr>
            <w:r>
              <w:t xml:space="preserve">8</w:t>
            </w:r>
          </w:p>
        </w:tc>
        <w:tc>
          <w:tcPr/>
          <w:p>
            <w:pPr>
              <w:pStyle w:val="Compact"/>
            </w:pPr>
            <w:r>
              <w:t xml:space="preserve">1,501</w:t>
            </w:r>
          </w:p>
        </w:tc>
        <w:tc>
          <w:tcPr/>
          <w:p>
            <w:pPr>
              <w:pStyle w:val="Compact"/>
            </w:pPr>
            <w: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t xml:space="preserve">1,501</w:t>
            </w:r>
          </w:p>
        </w:tc>
        <w:tc>
          <w:tcPr/>
          <w:p>
            <w:pPr>
              <w:pStyle w:val="Compact"/>
            </w:pPr>
            <w:r>
              <w:t xml:space="preserve">0.83 (±0.02)</w:t>
            </w:r>
          </w:p>
        </w:tc>
      </w:tr>
    </w:tbl>
    <w:p>
      <w:pPr>
        <w:pStyle w:val="BodyText"/>
      </w:pPr>
      <w:r>
        <w:rPr>
          <w:i/>
          <w:iCs/>
        </w:rPr>
        <w:t xml:space="preserve">Note.</w:t>
      </w:r>
      <w:r>
        <w:t xml:space="preserve"> </w:t>
      </w:r>
      <w:r>
        <w:t xml:space="preserve">Descriptive comparison on the subsample with complete data on all 22 candidate predictors (n = 1,501; see Supplementary Table S12). This table includes post-baseline behavioral predictors (ages 15–16) and therefore overlaps with the early portion of the at-risk window; AUCs are descriptive rather than ordinary prospective prediction quantities. The complete-case requirement (which includes HHI at age 15) keeps only athletes who competed at 15 (senior retention 22.4% vs. 16.3% in the cohort), so every row, including the baseline-only one, is computed on a sample selected on later participation. AUCs (± SD over folds) are from a single stratified 5-fold split (seed 42), as in the original analysis.</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2,136</w:t>
            </w: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1.18</w:t>
            </w:r>
          </w:p>
        </w:tc>
        <w:tc>
          <w:tcPr/>
          <w:p>
            <w:pPr>
              <w:pStyle w:val="Compact"/>
            </w:pPr>
            <w:r>
              <w:rPr>
                <w:b/>
                <w:bCs/>
              </w:rPr>
              <w:t xml:space="preserve">[1.04, 1.34]</w:t>
            </w:r>
          </w:p>
        </w:tc>
        <w:tc>
          <w:tcPr/>
          <w:p>
            <w:pPr>
              <w:pStyle w:val="Compact"/>
            </w:pPr>
            <w:r>
              <w:rPr>
                <w:b/>
                <w:bCs/>
              </w:rPr>
              <w:t xml:space="preserve">.012</w:t>
            </w:r>
          </w:p>
        </w:tc>
      </w:tr>
      <w:tr>
        <w:tc>
          <w:tcPr/>
          <w:p>
            <w:pPr>
              <w:pStyle w:val="Compact"/>
            </w:pPr>
          </w:p>
        </w:tc>
        <w:tc>
          <w:tcPr/>
          <w:p>
            <w:pPr>
              <w:pStyle w:val="Compact"/>
            </w:pPr>
            <w:r>
              <w:t xml:space="preserve">Pre-milestone volume (z)</w:t>
            </w:r>
          </w:p>
        </w:tc>
        <w:tc>
          <w:tcPr/>
          <w:p>
            <w:pPr>
              <w:pStyle w:val="Compact"/>
            </w:pPr>
            <w:r>
              <w:t xml:space="preserve">2.04</w:t>
            </w:r>
          </w:p>
        </w:tc>
        <w:tc>
          <w:tcPr/>
          <w:p>
            <w:pPr>
              <w:pStyle w:val="Compact"/>
            </w:pPr>
            <w: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2,135</w:t>
            </w:r>
          </w:p>
        </w:tc>
        <w:tc>
          <w:tcPr/>
          <w:p>
            <w:pPr>
              <w:pStyle w:val="Compact"/>
            </w:pPr>
            <w:r>
              <w:t xml:space="preserve">Tyrving (z)</w:t>
            </w:r>
          </w:p>
        </w:tc>
        <w:tc>
          <w:tcPr/>
          <w:p>
            <w:pPr>
              <w:pStyle w:val="Compact"/>
            </w:pPr>
            <w:r>
              <w:t xml:space="preserve">1.17</w:t>
            </w:r>
          </w:p>
        </w:tc>
        <w:tc>
          <w:tcPr/>
          <w:p>
            <w:pPr>
              <w:pStyle w:val="Compact"/>
            </w:pPr>
            <w:r>
              <w:t xml:space="preserve">[0.92, 1.49]</w:t>
            </w:r>
          </w:p>
        </w:tc>
        <w:tc>
          <w:tcPr/>
          <w:p>
            <w:pPr>
              <w:pStyle w:val="Compact"/>
            </w:pPr>
            <w:r>
              <w:t xml:space="preserve">.193</w:t>
            </w:r>
          </w:p>
        </w:tc>
      </w:tr>
      <w:tr>
        <w:tc>
          <w:tcPr/>
          <w:p>
            <w:pPr>
              <w:pStyle w:val="Compact"/>
            </w:pPr>
          </w:p>
        </w:tc>
        <w:tc>
          <w:tcPr/>
          <w:p>
            <w:pPr>
              <w:pStyle w:val="Compact"/>
            </w:pPr>
            <w:r>
              <w:rPr>
                <w:b/>
                <w:bCs/>
              </w:rPr>
              <w:t xml:space="preserve">HHI, ages 13–14 (z)</w:t>
            </w:r>
          </w:p>
        </w:tc>
        <w:tc>
          <w:tcPr/>
          <w:p>
            <w:pPr>
              <w:pStyle w:val="Compact"/>
            </w:pPr>
            <w:r>
              <w:rPr>
                <w:b/>
                <w:bCs/>
              </w:rPr>
              <w:t xml:space="preserve">1.07</w:t>
            </w:r>
          </w:p>
        </w:tc>
        <w:tc>
          <w:tcPr/>
          <w:p>
            <w:pPr>
              <w:pStyle w:val="Compact"/>
            </w:pPr>
            <w:r>
              <w:rPr>
                <w:b/>
                <w:bCs/>
              </w:rPr>
              <w:t xml:space="preserve">[0.94, 1.23]</w:t>
            </w:r>
          </w:p>
        </w:tc>
        <w:tc>
          <w:tcPr/>
          <w:p>
            <w:pPr>
              <w:pStyle w:val="Compact"/>
            </w:pPr>
            <w:r>
              <w:rPr>
                <w:b/>
                <w:bCs/>
              </w:rPr>
              <w:t xml:space="preserve">.302</w:t>
            </w:r>
          </w:p>
        </w:tc>
      </w:tr>
      <w:tr>
        <w:tc>
          <w:tcPr/>
          <w:p>
            <w:pPr>
              <w:pStyle w:val="Compact"/>
            </w:pPr>
          </w:p>
        </w:tc>
        <w:tc>
          <w:tcPr/>
          <w:p>
            <w:pPr>
              <w:pStyle w:val="Compact"/>
            </w:pPr>
            <w:r>
              <w:t xml:space="preserve">Pre-milestone volume (z)</w:t>
            </w:r>
          </w:p>
        </w:tc>
        <w:tc>
          <w:tcPr/>
          <w:p>
            <w:pPr>
              <w:pStyle w:val="Compact"/>
            </w:pPr>
            <w:r>
              <w:t xml:space="preserve">1.84</w:t>
            </w:r>
          </w:p>
        </w:tc>
        <w:tc>
          <w:tcPr/>
          <w:p>
            <w:pPr>
              <w:pStyle w:val="Compact"/>
            </w:pPr>
            <w: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t xml:space="preserve">1.80</w:t>
            </w:r>
          </w:p>
        </w:tc>
        <w:tc>
          <w:tcPr/>
          <w:p>
            <w:pPr>
              <w:pStyle w:val="Compact"/>
            </w:pPr>
            <w:r>
              <w:t xml:space="preserve">[1.36, 2.38]</w:t>
            </w:r>
          </w:p>
        </w:tc>
        <w:tc>
          <w:tcPr/>
          <w:p>
            <w:pPr>
              <w:pStyle w:val="Compact"/>
            </w:pPr>
            <w: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t xml:space="preserve">0.56</w:t>
            </w:r>
          </w:p>
        </w:tc>
        <w:tc>
          <w:tcPr/>
          <w:p>
            <w:pPr>
              <w:pStyle w:val="Compact"/>
            </w:pPr>
            <w:r>
              <w:t xml:space="preserve">[0.44, 0.73]</w:t>
            </w:r>
          </w:p>
        </w:tc>
        <w:tc>
          <w:tcPr/>
          <w:p>
            <w:pPr>
              <w:pStyle w:val="Compact"/>
            </w:pPr>
            <w:r>
              <w:t xml:space="preserve">&lt; .001</w:t>
            </w:r>
          </w:p>
        </w:tc>
      </w:tr>
      <w:tr>
        <w:tc>
          <w:tcPr/>
          <w:p>
            <w:pPr>
              <w:pStyle w:val="Compact"/>
            </w:pPr>
            <w:r>
              <w:t xml:space="preserve">n = 2,135</w:t>
            </w:r>
          </w:p>
        </w:tc>
        <w:tc>
          <w:tcPr/>
          <w:p>
            <w:pPr>
              <w:pStyle w:val="Compact"/>
            </w:pPr>
            <w:r>
              <w:t xml:space="preserve">Tyrving main category (z)</w:t>
            </w:r>
          </w:p>
        </w:tc>
        <w:tc>
          <w:tcPr/>
          <w:p>
            <w:pPr>
              <w:pStyle w:val="Compact"/>
            </w:pPr>
            <w:r>
              <w:t xml:space="preserve">2.07</w:t>
            </w:r>
          </w:p>
        </w:tc>
        <w:tc>
          <w:tcPr/>
          <w:p>
            <w:pPr>
              <w:pStyle w:val="Compact"/>
            </w:pPr>
            <w:r>
              <w:t xml:space="preserve">[1.70, 2.51]</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1.06</w:t>
            </w:r>
          </w:p>
        </w:tc>
        <w:tc>
          <w:tcPr/>
          <w:p>
            <w:pPr>
              <w:pStyle w:val="Compact"/>
            </w:pPr>
            <w:r>
              <w:rPr>
                <w:b/>
                <w:bCs/>
              </w:rPr>
              <w:t xml:space="preserve">[0.93, 1.21]</w:t>
            </w:r>
          </w:p>
        </w:tc>
        <w:tc>
          <w:tcPr/>
          <w:p>
            <w:pPr>
              <w:pStyle w:val="Compact"/>
            </w:pPr>
            <w:r>
              <w:rPr>
                <w:b/>
                <w:bCs/>
              </w:rPr>
              <w:t xml:space="preserve">.390</w:t>
            </w:r>
          </w:p>
        </w:tc>
      </w:tr>
      <w:tr>
        <w:tc>
          <w:tcPr/>
          <w:p>
            <w:pPr>
              <w:pStyle w:val="Compact"/>
            </w:pPr>
          </w:p>
        </w:tc>
        <w:tc>
          <w:tcPr/>
          <w:p>
            <w:pPr>
              <w:pStyle w:val="Compact"/>
            </w:pPr>
            <w:r>
              <w:t xml:space="preserve">Pre-milestone volume (z)</w:t>
            </w:r>
          </w:p>
        </w:tc>
        <w:tc>
          <w:tcPr/>
          <w:p>
            <w:pPr>
              <w:pStyle w:val="Compact"/>
            </w:pPr>
            <w:r>
              <w:t xml:space="preserve">1.83</w:t>
            </w:r>
          </w:p>
        </w:tc>
        <w:tc>
          <w:tcPr/>
          <w:p>
            <w:pPr>
              <w:pStyle w:val="Compact"/>
            </w:pPr>
            <w: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 0.02; HHI vs. Tyrving main category, r = 0.12; Tyrving best vs. Tyrving main, r = 0.78. The HHI coefficient is not stable across the three specifications (OR 1.06–1.18; 1.07 [0.94, 1.23] once main-category Tyrving is added); main-category Tyrving has an independent association (OR 1.80–2.07).</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1,146</w:t>
            </w:r>
          </w:p>
        </w:tc>
      </w:tr>
      <w:tr>
        <w:tc>
          <w:tcPr/>
          <w:p>
            <w:pPr>
              <w:pStyle w:val="Compact"/>
            </w:pPr>
            <w:r>
              <w:t xml:space="preserve">Reduced-but-nonzero penultimate season (final age ≥16)</w:t>
            </w:r>
          </w:p>
        </w:tc>
        <w:tc>
          <w:tcPr/>
          <w:p>
            <w:pPr>
              <w:pStyle w:val="Compact"/>
            </w:pPr>
            <w:r>
              <w:t xml:space="preserve">73.9%</w:t>
            </w:r>
          </w:p>
        </w:tc>
        <w:tc>
          <w:tcPr/>
          <w:p>
            <w:pPr>
              <w:pStyle w:val="Compact"/>
            </w:pPr>
            <w: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800</w:t>
            </w:r>
          </w:p>
        </w:tc>
      </w:tr>
      <w:tr>
        <w:tc>
          <w:tcPr/>
          <w:p>
            <w:pPr>
              <w:pStyle w:val="Compact"/>
            </w:pPr>
            <w:r>
              <w:t xml:space="preserve">Penultimate at personal peak (abrupt profile)</w:t>
            </w:r>
          </w:p>
        </w:tc>
        <w:tc>
          <w:tcPr/>
          <w:p>
            <w:pPr>
              <w:pStyle w:val="Compact"/>
            </w:pPr>
            <w:r>
              <w:t xml:space="preserve">19.6%</w:t>
            </w:r>
          </w:p>
        </w:tc>
        <w:tc>
          <w:tcPr/>
          <w:p>
            <w:pPr>
              <w:pStyle w:val="Compact"/>
            </w:pPr>
            <w:r>
              <w:t xml:space="preserve">800</w:t>
            </w:r>
          </w:p>
        </w:tc>
      </w:tr>
      <w:tr>
        <w:tc>
          <w:tcPr/>
          <w:p>
            <w:pPr>
              <w:pStyle w:val="Compact"/>
            </w:pPr>
            <w:r>
              <w:t xml:space="preserve">Volume in final season below personal peak</w:t>
            </w:r>
          </w:p>
        </w:tc>
        <w:tc>
          <w:tcPr/>
          <w:p>
            <w:pPr>
              <w:pStyle w:val="Compact"/>
            </w:pPr>
            <w:r>
              <w:t xml:space="preserve">93.3%</w:t>
            </w:r>
          </w:p>
        </w:tc>
        <w:tc>
          <w:tcPr/>
          <w:p>
            <w:pPr>
              <w:pStyle w:val="Compact"/>
            </w:pPr>
            <w:r>
              <w:t xml:space="preserve">1,146</w:t>
            </w:r>
          </w:p>
        </w:tc>
      </w:tr>
      <w:tr>
        <w:tc>
          <w:tcPr/>
          <w:p>
            <w:pPr>
              <w:pStyle w:val="Compact"/>
            </w:pPr>
            <w:r>
              <w:t xml:space="preserve">Change model among active at 16: volume at 15 (per SD)</w:t>
            </w:r>
          </w:p>
        </w:tc>
        <w:tc>
          <w:tcPr/>
          <w:p>
            <w:pPr>
              <w:pStyle w:val="Compact"/>
            </w:pPr>
            <w:r>
              <w:t xml:space="preserve">OR 3.04 [2.56, 3.62]</w:t>
            </w:r>
          </w:p>
        </w:tc>
        <w:tc>
          <w:tcPr/>
          <w:p>
            <w:pPr>
              <w:pStyle w:val="Compact"/>
            </w:pPr>
            <w:r>
              <w:t xml:space="preserve">1,088</w:t>
            </w:r>
          </w:p>
        </w:tc>
      </w:tr>
      <w:tr>
        <w:tc>
          <w:tcPr/>
          <w:p>
            <w:pPr>
              <w:pStyle w:val="Compact"/>
            </w:pPr>
            <w:r>
              <w:t xml:space="preserve">Change model among active at 16: change 15→16 (per SD increase)</w:t>
            </w:r>
          </w:p>
        </w:tc>
        <w:tc>
          <w:tcPr/>
          <w:p>
            <w:pPr>
              <w:pStyle w:val="Compact"/>
            </w:pPr>
            <w:r>
              <w:t xml:space="preserve">OR 1.87 [1.60, 2.19]</w:t>
            </w:r>
          </w:p>
        </w:tc>
        <w:tc>
          <w:tcPr/>
          <w:p>
            <w:pPr>
              <w:pStyle w:val="Compact"/>
            </w:pPr>
            <w:r>
              <w:t xml:space="preserve">1,088</w:t>
            </w:r>
          </w:p>
        </w:tc>
      </w:tr>
      <w:tr>
        <w:tc>
          <w:tcPr/>
          <w:p>
            <w:pPr>
              <w:pStyle w:val="Compact"/>
            </w:pPr>
            <w:r>
              <w:t xml:space="preserve">Change model among active at 16: change 15→16 (per SD decline)</w:t>
            </w:r>
          </w:p>
        </w:tc>
        <w:tc>
          <w:tcPr/>
          <w:p>
            <w:pPr>
              <w:pStyle w:val="Compact"/>
            </w:pPr>
            <w:r>
              <w:t xml:space="preserve">OR 0.54 [0.46, 0.63]</w:t>
            </w:r>
          </w:p>
        </w:tc>
        <w:tc>
          <w:tcPr/>
          <w:p>
            <w:pPr>
              <w:pStyle w:val="Compact"/>
            </w:pPr>
            <w: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1,146;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 0.762; change = volume at 16 minus volume at 15); all predictors are measured by 16, so no predictor is measured after exit; for 269 of the 1,088, 16 was the final active season, so their change from 15 to 16 ends in that season. In the level form, volume at 15 had OR = 1.03 per meet [1.01, 1.05] once volume at 16 was known.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t xml:space="preserve">2,136</w:t>
            </w:r>
          </w:p>
        </w:tc>
        <w:tc>
          <w:tcPr/>
          <w:p>
            <w:pPr>
              <w:pStyle w:val="Compact"/>
            </w:pPr>
            <w:r>
              <w:t xml:space="preserve">1.18 [1.04, 1.34]</w:t>
            </w:r>
          </w:p>
        </w:tc>
        <w:tc>
          <w:tcPr/>
          <w:p>
            <w:pPr>
              <w:pStyle w:val="Compact"/>
            </w:pPr>
            <w:r>
              <w:t xml:space="preserve">2.04</w:t>
            </w:r>
          </w:p>
        </w:tc>
      </w:tr>
      <w:tr>
        <w:tc>
          <w:tcPr/>
          <w:p>
            <w:pPr>
              <w:pStyle w:val="Compact"/>
            </w:pPr>
            <w:r>
              <w:t xml:space="preserve">≥ 5 results at ages 13–14</w:t>
            </w:r>
          </w:p>
        </w:tc>
        <w:tc>
          <w:tcPr/>
          <w:p>
            <w:pPr>
              <w:pStyle w:val="Compact"/>
            </w:pPr>
            <w:r>
              <w:t xml:space="preserve">2,053</w:t>
            </w:r>
          </w:p>
        </w:tc>
        <w:tc>
          <w:tcPr/>
          <w:p>
            <w:pPr>
              <w:pStyle w:val="Compact"/>
            </w:pPr>
            <w:r>
              <w:t xml:space="preserve">1.17 [1.04, 1.33]</w:t>
            </w:r>
          </w:p>
        </w:tc>
        <w:tc>
          <w:tcPr/>
          <w:p>
            <w:pPr>
              <w:pStyle w:val="Compact"/>
            </w:pPr>
            <w:r>
              <w:t xml:space="preserve">2.03</w:t>
            </w:r>
          </w:p>
        </w:tc>
      </w:tr>
      <w:tr>
        <w:tc>
          <w:tcPr/>
          <w:p>
            <w:pPr>
              <w:pStyle w:val="Compact"/>
            </w:pPr>
            <w:r>
              <w:t xml:space="preserve">≥ 8 results at ages 13–14</w:t>
            </w:r>
          </w:p>
        </w:tc>
        <w:tc>
          <w:tcPr/>
          <w:p>
            <w:pPr>
              <w:pStyle w:val="Compact"/>
            </w:pPr>
            <w:r>
              <w:t xml:space="preserve">1,905</w:t>
            </w:r>
          </w:p>
        </w:tc>
        <w:tc>
          <w:tcPr/>
          <w:p>
            <w:pPr>
              <w:pStyle w:val="Compact"/>
            </w:pPr>
            <w:r>
              <w:t xml:space="preserve">1.17 [1.03, 1.32]</w:t>
            </w:r>
          </w:p>
        </w:tc>
        <w:tc>
          <w:tcPr/>
          <w:p>
            <w:pPr>
              <w:pStyle w:val="Compact"/>
            </w:pPr>
            <w:r>
              <w:t xml:space="preserve">2.00</w:t>
            </w:r>
          </w:p>
        </w:tc>
      </w:tr>
      <w:tr>
        <w:tc>
          <w:tcPr/>
          <w:p>
            <w:pPr>
              <w:pStyle w:val="Compact"/>
            </w:pPr>
            <w:r>
              <w:t xml:space="preserve">Finite-sample-corrected HHI* = (HHI − 1/n)/(1 − 1/n)</w:t>
            </w:r>
          </w:p>
        </w:tc>
        <w:tc>
          <w:tcPr/>
          <w:p>
            <w:pPr>
              <w:pStyle w:val="Compact"/>
            </w:pPr>
            <w:r>
              <w:t xml:space="preserve">2,124</w:t>
            </w:r>
          </w:p>
        </w:tc>
        <w:tc>
          <w:tcPr/>
          <w:p>
            <w:pPr>
              <w:pStyle w:val="Compact"/>
            </w:pPr>
            <w:r>
              <w:t xml:space="preserve">1.20 [1.05, 1.35]</w:t>
            </w:r>
          </w:p>
        </w:tc>
        <w:tc>
          <w:tcPr/>
          <w:p>
            <w:pPr>
              <w:pStyle w:val="Compact"/>
            </w:pPr>
            <w:r>
              <w:t xml:space="preserve">2.01</w:t>
            </w:r>
          </w:p>
        </w:tc>
      </w:tr>
    </w:tbl>
    <w:p>
      <w:pPr>
        <w:pStyle w:val="BodyText"/>
      </w:pPr>
      <w:r>
        <w:rPr>
          <w:i/>
          <w:iCs/>
        </w:rPr>
        <w:t xml:space="preserve">Note.</w:t>
      </w:r>
      <w:r>
        <w:t xml:space="preserve"> </w:t>
      </w:r>
      <w:r>
        <w:t xml:space="preserve">HHI computed from results at ages 13–14. Spearman correlations: HHI vs. result count at ages 13–14 ρ = −0.40; HHI vs. pre-milestone volume ρ = −0.22. The corrected index is undefined for the 12 athletes with a single result at ages 13–14. 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 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CV-AUCs use 20 cross-validation splits (with imputation, one per imputed dataset), so the submitted complete-case value differs slightly from that of the submission’s single split (0.751; Supplementary Table S26).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t xml:space="preserve">0.27</w:t>
            </w:r>
          </w:p>
        </w:tc>
        <w:tc>
          <w:tcPr/>
          <w:p>
            <w:pPr>
              <w:pStyle w:val="Compact"/>
            </w:pPr>
            <w:r>
              <w:t xml:space="preserve">2,136 athletes, 287 clubs</w:t>
            </w:r>
          </w:p>
        </w:tc>
      </w:tr>
      <w:tr>
        <w:tc>
          <w:tcPr/>
          <w:p>
            <w:pPr>
              <w:pStyle w:val="Compact"/>
            </w:pPr>
            <w:r>
              <w:t xml:space="preserve">Volume OR, primary (no club terms)</w:t>
            </w:r>
          </w:p>
        </w:tc>
        <w:tc>
          <w:tcPr/>
          <w:p>
            <w:pPr>
              <w:pStyle w:val="Compact"/>
            </w:pPr>
            <w:r>
              <w:t xml:space="preserve">2.04</w:t>
            </w:r>
          </w:p>
        </w:tc>
        <w:tc>
          <w:tcPr/>
          <w:p>
            <w:pPr>
              <w:pStyle w:val="Compact"/>
            </w:pPr>
            <w:r>
              <w:t xml:space="preserve">2,136</w:t>
            </w:r>
          </w:p>
        </w:tc>
      </w:tr>
      <w:tr>
        <w:tc>
          <w:tcPr/>
          <w:p>
            <w:pPr>
              <w:pStyle w:val="Compact"/>
            </w:pPr>
            <w:r>
              <w:t xml:space="preserve">Volume OR, club random intercepts (maximum likelihood)</w:t>
            </w:r>
          </w:p>
        </w:tc>
        <w:tc>
          <w:tcPr/>
          <w:p>
            <w:pPr>
              <w:pStyle w:val="Compact"/>
            </w:pPr>
            <w:r>
              <w:t xml:space="preserve">2.07 [1.80, 2.37]</w:t>
            </w:r>
          </w:p>
        </w:tc>
        <w:tc>
          <w:tcPr/>
          <w:p>
            <w:pPr>
              <w:pStyle w:val="Compact"/>
            </w:pPr>
            <w:r>
              <w:t xml:space="preserve">2,136</w:t>
            </w:r>
          </w:p>
        </w:tc>
      </w:tr>
      <w:tr>
        <w:tc>
          <w:tcPr/>
          <w:p>
            <w:pPr>
              <w:pStyle w:val="Compact"/>
            </w:pPr>
            <w:r>
              <w:t xml:space="preserve">HHI OR, club random intercepts (maximum likelihood)</w:t>
            </w:r>
          </w:p>
        </w:tc>
        <w:tc>
          <w:tcPr/>
          <w:p>
            <w:pPr>
              <w:pStyle w:val="Compact"/>
            </w:pPr>
            <w:r>
              <w:t xml:space="preserve">1.17 [1.03, 1.34]</w:t>
            </w:r>
          </w:p>
        </w:tc>
        <w:tc>
          <w:tcPr/>
          <w:p>
            <w:pPr>
              <w:pStyle w:val="Compact"/>
            </w:pPr>
            <w:r>
              <w:t xml:space="preserve">2,136</w:t>
            </w:r>
          </w:p>
        </w:tc>
      </w:tr>
      <w:tr>
        <w:tc>
          <w:tcPr/>
          <w:p>
            <w:pPr>
              <w:pStyle w:val="Compact"/>
            </w:pPr>
            <w:r>
              <w:t xml:space="preserve">SD of the club intercepts (log-odds); likelihood-ratio test of no club variation</w:t>
            </w:r>
          </w:p>
        </w:tc>
        <w:tc>
          <w:tcPr/>
          <w:p>
            <w:pPr>
              <w:pStyle w:val="Compact"/>
            </w:pPr>
            <w:r>
              <w:t xml:space="preserve">0.17; p = .311</w:t>
            </w:r>
          </w:p>
        </w:tc>
        <w:tc>
          <w:tcPr/>
          <w:p>
            <w:pPr>
              <w:pStyle w:val="Compact"/>
            </w:pPr>
            <w:r>
              <w:t xml:space="preserve">2,136</w:t>
            </w:r>
          </w:p>
        </w:tc>
      </w:tr>
      <w:tr>
        <w:tc>
          <w:tcPr/>
          <w:p>
            <w:pPr>
              <w:pStyle w:val="Compact"/>
            </w:pPr>
            <w:r>
              <w:t xml:space="preserve">Volume OR, club-clustered standard errors</w:t>
            </w:r>
          </w:p>
        </w:tc>
        <w:tc>
          <w:tcPr/>
          <w:p>
            <w:pPr>
              <w:pStyle w:val="Compact"/>
            </w:pPr>
            <w:r>
              <w:t xml:space="preserve">2.04 [1.75, 2.39]</w:t>
            </w:r>
          </w:p>
        </w:tc>
        <w:tc>
          <w:tcPr/>
          <w:p>
            <w:pPr>
              <w:pStyle w:val="Compact"/>
            </w:pPr>
            <w:r>
              <w:t xml:space="preserve">2,136</w:t>
            </w:r>
          </w:p>
        </w:tc>
      </w:tr>
      <w:tr>
        <w:tc>
          <w:tcPr/>
          <w:p>
            <w:pPr>
              <w:pStyle w:val="Compact"/>
            </w:pPr>
            <w:r>
              <w:t xml:space="preserve">Volume OR, population-averaged GEE (exchangeable within club)</w:t>
            </w:r>
          </w:p>
        </w:tc>
        <w:tc>
          <w:tcPr/>
          <w:p>
            <w:pPr>
              <w:pStyle w:val="Compact"/>
            </w:pPr>
            <w:r>
              <w:t xml:space="preserve">2.03 [1.74, 2.38]; within-club correlation −0.003</w:t>
            </w:r>
          </w:p>
        </w:tc>
        <w:tc>
          <w:tcPr/>
          <w:p>
            <w:pPr>
              <w:pStyle w:val="Compact"/>
            </w:pPr>
            <w:r>
              <w:t xml:space="preserve">2,136</w:t>
            </w:r>
          </w:p>
        </w:tc>
      </w:tr>
      <w:tr>
        <w:tc>
          <w:tcPr/>
          <w:p>
            <w:pPr>
              <w:pStyle w:val="Compact"/>
            </w:pPr>
            <w:r>
              <w:t xml:space="preserve">Volume OR, club fixed effects (conditional logit; comparisons within clubs)</w:t>
            </w:r>
          </w:p>
        </w:tc>
        <w:tc>
          <w:tcPr/>
          <w:p>
            <w:pPr>
              <w:pStyle w:val="Compact"/>
            </w:pPr>
            <w:r>
              <w:t xml:space="preserve">2.28 [1.93, 2.69]</w:t>
            </w:r>
          </w:p>
        </w:tc>
        <w:tc>
          <w:tcPr/>
          <w:p>
            <w:pPr>
              <w:pStyle w:val="Compact"/>
            </w:pPr>
            <w:r>
              <w:t xml:space="preserve">1,698 athletes in the 127 clubs with both outcomes</w:t>
            </w:r>
          </w:p>
        </w:tc>
      </w:tr>
      <w:tr>
        <w:tc>
          <w:tcPr/>
          <w:p>
            <w:pPr>
              <w:pStyle w:val="Compact"/>
            </w:pPr>
            <w:r>
              <w:t xml:space="preserve">CV-AUC, folds grouped by club (20 repeats)</w:t>
            </w:r>
          </w:p>
        </w:tc>
        <w:tc>
          <w:tcPr/>
          <w:p>
            <w:pPr>
              <w:pStyle w:val="Compact"/>
            </w:pPr>
            <w:r>
              <w:t xml:space="preserve">0.766 [0.735, 0.797]</w:t>
            </w:r>
          </w:p>
        </w:tc>
        <w:tc>
          <w:tcPr/>
          <w:p>
            <w:pPr>
              <w:pStyle w:val="Compact"/>
            </w:pPr>
            <w: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(club fixed effects) is, if anything, slightly larger than the pooled estimate, club-clustered and population-averaged estimates give the same odds ratio, the clubs differ little in retention itself, and discrimination is unchanged when validation clubs are held out of fitting: the association is not a club-supply artifact. The random-intercept model is fitted by maximum likelihood (club intercepts integrated out with 40-node Gauss–Hermite quadrature; Wald intervals); the submission used a variational Bayes approximation, which understates uncertainty.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t xml:space="preserve">0.98</w:t>
            </w:r>
          </w:p>
        </w:tc>
      </w:tr>
      <w:tr>
        <w:tc>
          <w:tcPr/>
          <w:p>
            <w:pPr>
              <w:pStyle w:val="Compact"/>
            </w:pPr>
            <w:r>
              <w:t xml:space="preserve">Calibration-in-the-large</w:t>
            </w:r>
          </w:p>
        </w:tc>
        <w:tc>
          <w:tcPr/>
          <w:p>
            <w:pPr>
              <w:pStyle w:val="Compact"/>
            </w:pPr>
            <w:r>
              <w:t xml:space="preserve">0.00</w:t>
            </w:r>
          </w:p>
        </w:tc>
      </w:tr>
      <w:tr>
        <w:tc>
          <w:tcPr/>
          <w:p>
            <w:pPr>
              <w:pStyle w:val="Compact"/>
            </w:pPr>
            <w:r>
              <w:t xml:space="preserve">Brier score</w:t>
            </w:r>
          </w:p>
        </w:tc>
        <w:tc>
          <w:tcPr/>
          <w:p>
            <w:pPr>
              <w:pStyle w:val="Compact"/>
            </w:pPr>
            <w:r>
              <w:t xml:space="preserve">0.117</w:t>
            </w:r>
          </w:p>
        </w:tc>
      </w:tr>
      <w:tr>
        <w:tc>
          <w:tcPr/>
          <w:p>
            <w:pPr>
              <w:pStyle w:val="Compact"/>
            </w:pPr>
            <w:r>
              <w:t xml:space="preserve">n</w:t>
            </w:r>
          </w:p>
        </w:tc>
        <w:tc>
          <w:tcPr/>
          <w:p>
            <w:pPr>
              <w:pStyle w:val="Compact"/>
            </w:pPr>
            <w:r>
              <w:t xml:space="preserve">2,136</w:t>
            </w:r>
          </w:p>
        </w:tc>
      </w:tr>
    </w:tbl>
    <w:p>
      <w:pPr>
        <w:pStyle w:val="BodyText"/>
      </w:pPr>
      <w:r>
        <w:rPr>
          <w:i/>
          <w:iCs/>
        </w:rPr>
        <w:t xml:space="preserve">Note.</w:t>
      </w:r>
      <w:r>
        <w:t xml:space="preserve"> </w:t>
      </w:r>
      <w: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0.165</w:t>
            </w:r>
          </w:p>
        </w:tc>
        <w:tc>
          <w:tcPr/>
          <w:p>
            <w:pPr>
              <w:pStyle w:val="Compact"/>
            </w:pPr>
            <w:r>
              <w:t xml:space="preserve">2.08 [1.83, 2.37]</w:t>
            </w:r>
          </w:p>
        </w:tc>
        <w:tc>
          <w:tcPr/>
          <w:p>
            <w:pPr>
              <w:pStyle w:val="Compact"/>
            </w:pPr>
            <w:r>
              <w:t xml:space="preserve">0.773</w:t>
            </w:r>
          </w:p>
        </w:tc>
        <w:tc>
          <w:tcPr/>
          <w:p>
            <w:pPr>
              <w:pStyle w:val="Compact"/>
            </w:pPr>
            <w: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 Prevalences are for all 2,138 athletes; the model uses the 2,136 with complete data.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t xml:space="preserve">16.2%</w:t>
            </w:r>
          </w:p>
        </w:tc>
        <w:tc>
          <w:tcPr/>
          <w:p>
            <w:pPr>
              <w:pStyle w:val="Compact"/>
            </w:pPr>
            <w:r>
              <w:t xml:space="preserve">50.0%</w:t>
            </w:r>
          </w:p>
        </w:tc>
      </w:tr>
      <w:tr>
        <w:tc>
          <w:tcPr/>
          <w:p>
            <w:pPr>
              <w:pStyle w:val="Compact"/>
            </w:pPr>
            <w:r>
              <w:t xml:space="preserve">Female</w:t>
            </w:r>
          </w:p>
        </w:tc>
        <w:tc>
          <w:tcPr/>
          <w:p>
            <w:pPr>
              <w:pStyle w:val="Compact"/>
            </w:pPr>
            <w:r>
              <w:t xml:space="preserve">52.9%</w:t>
            </w:r>
          </w:p>
        </w:tc>
        <w:tc>
          <w:tcPr/>
          <w:p>
            <w:pPr>
              <w:pStyle w:val="Compact"/>
            </w:pPr>
            <w: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t xml:space="preserve">12.5</w:t>
            </w:r>
          </w:p>
        </w:tc>
      </w:tr>
      <w:tr>
        <w:tc>
          <w:tcPr/>
          <w:p>
            <w:pPr>
              <w:pStyle w:val="Compact"/>
            </w:pPr>
            <w:r>
              <w:t xml:space="preserve">HHI, ages 13–14 (mean)</w:t>
            </w:r>
          </w:p>
        </w:tc>
        <w:tc>
          <w:tcPr/>
          <w:p>
            <w:pPr>
              <w:pStyle w:val="Compact"/>
            </w:pPr>
            <w:r>
              <w:t xml:space="preserve">0.46</w:t>
            </w:r>
          </w:p>
        </w:tc>
        <w:tc>
          <w:tcPr/>
          <w:p>
            <w:pPr>
              <w:pStyle w:val="Compact"/>
            </w:pPr>
            <w:r>
              <w:t xml:space="preserve">0.40</w:t>
            </w:r>
          </w:p>
        </w:tc>
      </w:tr>
    </w:tbl>
    <w:p>
      <w:pPr>
        <w:pStyle w:val="BodyText"/>
      </w:pPr>
      <w:r>
        <w:rPr>
          <w:i/>
          <w:iCs/>
        </w:rPr>
        <w:t xml:space="preserve">Note.</w:t>
      </w:r>
      <w:r>
        <w:t xml:space="preserve"> </w:t>
      </w:r>
      <w:r>
        <w:t xml:space="preserve">n = 2,136 included, 2 excluded (2 without registered sex; 0 further without a baseline Tyrving score). The excluded athletes are too few to affect the estimates; multiple imputation gives identical results (Supplementary Table S21).</w:t>
      </w:r>
    </w:p>
    <w:p>
      <w:r>
        <w:pict>
          <v:rect style="width:0;height:1.5pt" o:hralign="center" o:hrstd="t" o:hr="t"/>
        </w:pict>
      </w:r>
    </w:p>
    <w:bookmarkEnd w:id="48"/>
    <w:bookmarkStart w:id="49" w:name="X5b301730d0444a2796bed428c3687a16178aacd"/>
    <w:p>
      <w:pPr>
        <w:pStyle w:val="Heading2"/>
      </w:pPr>
      <w:r>
        <w:t xml:space="preserve">Table S26. 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 Calibration-in-the-large is the intercept of a logistic model with the linear predictor as offset; the submitted Table S23 reported instead the intercept estimated jointly with the slope (−0.06), a different quantity.</w:t>
      </w:r>
    </w:p>
    <w:p>
      <w:r>
        <w:pict>
          <v:rect style="width:0;height:1.5pt" o:hralign="center" o:hrstd="t" o:hr="t"/>
        </w:pict>
      </w:r>
    </w:p>
    <w:bookmarkEnd w:id="49"/>
    <w:bookmarkStart w:id="50" w:name="X5811facb1dbdc28258b740dedef30106028cc60"/>
    <w:p>
      <w:pPr>
        <w:pStyle w:val="Heading2"/>
      </w:pPr>
      <w:r>
        <w:t xml:space="preserve">Table S27. 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(baseline window)</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 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 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[5.9, 9.6]</w:t>
            </w:r>
          </w:p>
        </w:tc>
        <w:tc>
          <w:tcPr/>
          <w:p>
            <w:pPr>
              <w:pStyle w:val="Compact"/>
            </w:pPr>
            <w:r>
              <w:t xml:space="preserve">29.0% [25.0, 32.9]</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0.64]</w:t>
            </w:r>
          </w:p>
        </w:tc>
        <w:tc>
          <w:tcPr/>
          <w:p>
            <w:pPr>
              <w:pStyle w:val="Compact"/>
            </w:pPr>
            <w:r>
              <w:t xml:space="preserve">0.70 [0.63, 0.78]</w:t>
            </w:r>
          </w:p>
        </w:tc>
        <w:tc>
          <w:tcPr/>
          <w:p>
            <w:pPr>
              <w:pStyle w:val="Compact"/>
            </w:pPr>
            <w:r>
              <w:t xml:space="preserve">0.91 [0.88, 0.93]</w:t>
            </w:r>
          </w:p>
        </w:tc>
        <w:tc>
          <w:tcPr/>
          <w:p>
            <w:pPr>
              <w:pStyle w:val="Compact"/>
            </w:pPr>
            <w:r>
              <w:t xml:space="preserve">9.1% [6.6, 11.8]</w:t>
            </w:r>
          </w:p>
        </w:tc>
        <w:tc>
          <w:tcPr/>
          <w:p>
            <w:pPr>
              <w:pStyle w:val="Compact"/>
            </w:pPr>
            <w:r>
              <w:t xml:space="preserve">26.9% [22.5, 31.4]</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[0.49, 0.65]</w:t>
            </w:r>
          </w:p>
        </w:tc>
        <w:tc>
          <w:tcPr/>
          <w:p>
            <w:pPr>
              <w:pStyle w:val="Compact"/>
            </w:pPr>
            <w:r>
              <w:t xml:space="preserve">0.90 [0.87, 0.92]</w:t>
            </w:r>
          </w:p>
        </w:tc>
        <w:tc>
          <w:tcPr/>
          <w:p>
            <w:pPr>
              <w:pStyle w:val="Compact"/>
            </w:pPr>
            <w:r>
              <w:t xml:space="preserve">10.3% [7.8, 12.7]</w:t>
            </w:r>
          </w:p>
        </w:tc>
        <w:tc>
          <w:tcPr/>
          <w:p>
            <w:pPr>
              <w:pStyle w:val="Compact"/>
            </w:pPr>
            <w:r>
              <w:t xml:space="preserve">33.8% [27.5, 39.6]</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[0.45, 0.58]</w:t>
            </w:r>
          </w:p>
        </w:tc>
        <w:tc>
          <w:tcPr/>
          <w:p>
            <w:pPr>
              <w:pStyle w:val="Compact"/>
            </w:pPr>
            <w:r>
              <w:t xml:space="preserve">0.90 [0.88, 0.92]</w:t>
            </w:r>
          </w:p>
        </w:tc>
        <w:tc>
          <w:tcPr/>
          <w:p>
            <w:pPr>
              <w:pStyle w:val="Compact"/>
            </w:pPr>
            <w:r>
              <w:t xml:space="preserve">10.1% [8.2, 11.9]</w:t>
            </w:r>
          </w:p>
        </w:tc>
        <w:tc>
          <w:tcPr/>
          <w:p>
            <w:pPr>
              <w:pStyle w:val="Compact"/>
            </w:pPr>
            <w:r>
              <w:t xml:space="preserve">34.8% [29.6, 40.3]</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rows with the same cohort and cut-off are one computation (the lowest-quartile cut-off is &lt; 10 in both cohorts, so the quartile rows and the candidate rows coincide).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 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with an active season in 2019 or earlier followed by two missed seasons, 4.4% ever returned (at least four later seasons observable). Under the primary definition such returns are part of a continuing career; the alternative definitions instead end the spell at the first two-season gap or at the first inactive season (censored if no such pattern is observed through 2025). The first-inactive-season definition also requires an active season at 14, the season before time zero, which explains its smaller n.</w:t>
      </w:r>
    </w:p>
    <w:p>
      <w:r>
        <w:pict>
          <v:rect style="width:0;height:1.5pt" o:hralign="center" o:hrstd="t" o:hr="t"/>
        </w:pict>
      </w:r>
    </w:p>
    <w:bookmarkEnd w:id="53"/>
    <w:bookmarkStart w:id="54" w:name="X277d1e89980e4e2eb27fee4091647b391d6b550"/>
    <w:p>
      <w:pPr>
        <w:pStyle w:val="Heading2"/>
      </w:pPr>
      <w:r>
        <w:t xml:space="preserve">Table S31. 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0.740</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0.680</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 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Participation in the baseline meet was identified by venue and date (Supplementary Methods S-M12). Boundary birth years 1997 and 2003 were excluded because they had only one possible eligible edition in the cohort window. Athletes who attended both the 13-year-old and 14-year-old editions were deduplicated, with the earlier edition used as baseline. Complete-case analysis used 2,136 of 2,138 athletes; the 2 athletes without registered sex were excluded (Supplementary Methods S-M3).</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0.66,</w:t>
      </w:r>
      <w:r>
        <w:t xml:space="preserve"> </w:t>
      </w:r>
      <w:r>
        <w:rPr>
          <w:i/>
          <w:iCs/>
        </w:rPr>
        <w:t xml:space="preserve">p</w:t>
      </w:r>
      <w:r>
        <w:t xml:space="preserve"> </w:t>
      </w:r>
      <w:r>
        <w:t xml:space="preserve">= .42.</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district, youth-national, junior-national, and senior-national championships; classification in Supplementary Methods S-M12). Retention is strongly monotonic in number of championship types.</w:t>
      </w:r>
    </w:p>
    <w:p>
      <w:pPr>
        <w:pStyle w:val="BodyText"/>
      </w:pPr>
      <w:r>
        <w:drawing>
          <wp:inline>
            <wp:extent cx="5334000" cy="3577739"/>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773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 drawn from the estimates in Table 5.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p>
      <w:r>
        <w:pict>
          <v:rect style="width:0;height:1.5pt" o:hralign="center" o:hrstd="t" o:hr="t"/>
        </w:pict>
      </w:r>
    </w:p>
    <w:bookmarkEnd w:id="75"/>
    <w:bookmarkStart w:id="76" w:name="X2c3b4cd33b6256d604a09889c752fc96d4ce65e"/>
    <w:p>
      <w:pPr>
        <w:pStyle w:val="Heading1"/>
      </w:pPr>
      <w:r>
        <w:t xml:space="preserve">STROBE Statement — Checklist for Cohort Studies</w:t>
      </w:r>
    </w:p>
    <w:p>
      <w:pPr>
        <w:pStyle w:val="FirstParagraph"/>
      </w:pPr>
      <w:r>
        <w:t xml:space="preserve">Manuscript:</w:t>
      </w:r>
      <w:r>
        <w:t xml:space="preserve"> </w:t>
      </w:r>
      <w:r>
        <w:rPr>
          <w:i/>
          <w:iCs/>
        </w:rPr>
        <w:t xml:space="preserve">Pulling back before dropping out: Declining competition participation precedes exit from Norwegian youth track and field — a 14-year register study.</w:t>
      </w:r>
      <w:r>
        <w:t xml:space="preserve"> </w:t>
      </w:r>
      <w:r>
        <w:t xml:space="preserve">Item locations refer to manuscript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Recommendation</w:t>
            </w:r>
          </w:p>
        </w:tc>
        <w:tc>
          <w:tcPr/>
          <w:p>
            <w:pPr>
              <w:pStyle w:val="Compact"/>
            </w:pPr>
            <w:r>
              <w:t xml:space="preserve">Location</w:t>
            </w:r>
          </w:p>
        </w:tc>
      </w:tr>
      <w:tr>
        <w:tc>
          <w:tcPr/>
          <w:p>
            <w:pPr>
              <w:pStyle w:val="Compact"/>
            </w:pPr>
            <w:r>
              <w:t xml:space="preserve">1 Title/abstract (a)</w:t>
            </w:r>
          </w:p>
        </w:tc>
        <w:tc>
          <w:tcPr/>
          <w:p>
            <w:pPr>
              <w:pStyle w:val="Compact"/>
            </w:pPr>
            <w:r>
              <w:t xml:space="preserve">Indicate the study’s design in the title or abstract</w:t>
            </w:r>
          </w:p>
        </w:tc>
        <w:tc>
          <w:tcPr/>
          <w:p>
            <w:pPr>
              <w:pStyle w:val="Compact"/>
            </w:pPr>
            <w:r>
              <w:t xml:space="preserve">Title (</w:t>
            </w:r>
            <w:r>
              <w:t xml:space="preserve">“a 14-year register study”</w:t>
            </w:r>
            <w:r>
              <w:t xml:space="preserve">); Abstract</w:t>
            </w:r>
          </w:p>
        </w:tc>
      </w:tr>
      <w:tr>
        <w:tc>
          <w:tcPr/>
          <w:p>
            <w:pPr>
              <w:pStyle w:val="Compact"/>
            </w:pPr>
            <w:r>
              <w:t xml:space="preserve">1 (b)</w:t>
            </w:r>
          </w:p>
        </w:tc>
        <w:tc>
          <w:tcPr/>
          <w:p>
            <w:pPr>
              <w:pStyle w:val="Compact"/>
            </w:pPr>
            <w:r>
              <w:t xml:space="preserve">Informative and balanced summary in the abstract</w:t>
            </w:r>
          </w:p>
        </w:tc>
        <w:tc>
          <w:tcPr/>
          <w:p>
            <w:pPr>
              <w:pStyle w:val="Compact"/>
            </w:pPr>
            <w:r>
              <w:t xml:space="preserve">Abstract (design, n, follow-up, estimates with CIs, cross-validated discrimination and calibration, internal cohort replication, candidate threshold)</w:t>
            </w:r>
          </w:p>
        </w:tc>
      </w:tr>
      <w:tr>
        <w:tc>
          <w:tcPr/>
          <w:p>
            <w:pPr>
              <w:pStyle w:val="Compact"/>
            </w:pPr>
            <w:r>
              <w:t xml:space="preserve">2 Background/rationale</w:t>
            </w:r>
          </w:p>
        </w:tc>
        <w:tc>
          <w:tcPr/>
          <w:p>
            <w:pPr>
              <w:pStyle w:val="Compact"/>
            </w:pPr>
            <w:r>
              <w:t xml:space="preserve">Scientific background and rationale</w:t>
            </w:r>
          </w:p>
        </w:tc>
        <w:tc>
          <w:tcPr/>
          <w:p>
            <w:pPr>
              <w:pStyle w:val="Compact"/>
            </w:pPr>
            <w:r>
              <w:t xml:space="preserve">§1–1.2</w:t>
            </w:r>
          </w:p>
        </w:tc>
      </w:tr>
      <w:tr>
        <w:tc>
          <w:tcPr/>
          <w:p>
            <w:pPr>
              <w:pStyle w:val="Compact"/>
            </w:pPr>
            <w:r>
              <w:t xml:space="preserve">3 Objectives</w:t>
            </w:r>
          </w:p>
        </w:tc>
        <w:tc>
          <w:tcPr/>
          <w:p>
            <w:pPr>
              <w:pStyle w:val="Compact"/>
            </w:pPr>
            <w:r>
              <w:t xml:space="preserve">State specific objectives, including any prespecified hypotheses</w:t>
            </w:r>
          </w:p>
        </w:tc>
        <w:tc>
          <w:tcPr/>
          <w:p>
            <w:pPr>
              <w:pStyle w:val="Compact"/>
            </w:pPr>
            <w:r>
              <w:t xml:space="preserve">§1.3 (H1–H3, with H1’s two components and H3 labeled a robustness expectation)</w:t>
            </w:r>
          </w:p>
        </w:tc>
      </w:tr>
      <w:tr>
        <w:tc>
          <w:tcPr/>
          <w:p>
            <w:pPr>
              <w:pStyle w:val="Compact"/>
            </w:pPr>
            <w:r>
              <w:t xml:space="preserve">4 Study design</w:t>
            </w:r>
          </w:p>
        </w:tc>
        <w:tc>
          <w:tcPr/>
          <w:p>
            <w:pPr>
              <w:pStyle w:val="Compact"/>
            </w:pPr>
            <w:r>
              <w:t xml:space="preserve">Present key elements of study design early</w:t>
            </w:r>
          </w:p>
        </w:tc>
        <w:tc>
          <w:tcPr/>
          <w:p>
            <w:pPr>
              <w:pStyle w:val="Compact"/>
            </w:pPr>
            <w:r>
              <w:t xml:space="preserve">§2.1</w:t>
            </w:r>
          </w:p>
        </w:tc>
      </w:tr>
      <w:tr>
        <w:tc>
          <w:tcPr/>
          <w:p>
            <w:pPr>
              <w:pStyle w:val="Compact"/>
            </w:pPr>
            <w:r>
              <w:t xml:space="preserve">5 Setting</w:t>
            </w:r>
          </w:p>
        </w:tc>
        <w:tc>
          <w:tcPr/>
          <w:p>
            <w:pPr>
              <w:pStyle w:val="Compact"/>
            </w:pPr>
            <w:r>
              <w:t xml:space="preserve">Settings, locations, relevant dates (recruitment, exposure, follow-up, data collection)</w:t>
            </w:r>
          </w:p>
        </w:tc>
        <w:tc>
          <w:tcPr/>
          <w:p>
            <w:pPr>
              <w:pStyle w:val="Compact"/>
            </w:pPr>
            <w:r>
              <w:t xml:space="preserve">§2.2–2.3 (baseline meets 2011–2016; follow-up through 2025; register extract of May 2026, Supplementary Methods S-M12)</w:t>
            </w:r>
          </w:p>
        </w:tc>
      </w:tr>
      <w:tr>
        <w:tc>
          <w:tcPr/>
          <w:p>
            <w:pPr>
              <w:pStyle w:val="Compact"/>
            </w:pPr>
            <w:r>
              <w:t xml:space="preserve">6 Participants (a)</w:t>
            </w:r>
          </w:p>
        </w:tc>
        <w:tc>
          <w:tcPr/>
          <w:p>
            <w:pPr>
              <w:pStyle w:val="Compact"/>
            </w:pPr>
            <w:r>
              <w:t xml:space="preserve">Eligibility criteria, sources and methods of selection; follow-up</w:t>
            </w:r>
          </w:p>
        </w:tc>
        <w:tc>
          <w:tcPr/>
          <w:p>
            <w:pPr>
              <w:pStyle w:val="Compact"/>
            </w:pPr>
            <w:r>
              <w:t xml:space="preserve">§2.2 (inclusion via baseline meet; district entry; birth years 1998–2002; de-duplication), §2.3</w:t>
            </w:r>
          </w:p>
        </w:tc>
      </w:tr>
      <w:tr>
        <w:tc>
          <w:tcPr/>
          <w:p>
            <w:pPr>
              <w:pStyle w:val="Compact"/>
            </w:pPr>
            <w:r>
              <w:t xml:space="preserve">6 (b)</w:t>
            </w:r>
          </w:p>
        </w:tc>
        <w:tc>
          <w:tcPr/>
          <w:p>
            <w:pPr>
              <w:pStyle w:val="Compact"/>
            </w:pPr>
            <w:r>
              <w:t xml:space="preserve">Matched studies — n/a</w:t>
            </w:r>
          </w:p>
        </w:tc>
        <w:tc>
          <w:tcPr/>
          <w:p>
            <w:pPr>
              <w:pStyle w:val="Compact"/>
            </w:pPr>
            <w:r>
              <w:t xml:space="preserve">—</w:t>
            </w:r>
          </w:p>
        </w:tc>
      </w:tr>
      <w:tr>
        <w:tc>
          <w:tcPr/>
          <w:p>
            <w:pPr>
              <w:pStyle w:val="Compact"/>
            </w:pPr>
            <w:r>
              <w:t xml:space="preserve">7 Variables</w:t>
            </w:r>
          </w:p>
        </w:tc>
        <w:tc>
          <w:tcPr/>
          <w:p>
            <w:pPr>
              <w:pStyle w:val="Compact"/>
            </w:pPr>
            <w:r>
              <w:t xml:space="preserve">Define outcomes, exposures, predictors, confounders, effect modifiers</w:t>
            </w:r>
          </w:p>
        </w:tc>
        <w:tc>
          <w:tcPr/>
          <w:p>
            <w:pPr>
              <w:pStyle w:val="Compact"/>
            </w:pPr>
            <w:r>
              <w:t xml:space="preserve">§2.4.1–2.4.5</w:t>
            </w:r>
          </w:p>
        </w:tc>
      </w:tr>
      <w:tr>
        <w:tc>
          <w:tcPr/>
          <w:p>
            <w:pPr>
              <w:pStyle w:val="Compact"/>
            </w:pPr>
            <w:r>
              <w:t xml:space="preserve">8 Data sources/measurement</w:t>
            </w:r>
          </w:p>
        </w:tc>
        <w:tc>
          <w:tcPr/>
          <w:p>
            <w:pPr>
              <w:pStyle w:val="Compact"/>
            </w:pPr>
            <w:r>
              <w:t xml:space="preserve">Sources of data and details of assessment methods</w:t>
            </w:r>
          </w:p>
        </w:tc>
        <w:tc>
          <w:tcPr/>
          <w:p>
            <w:pPr>
              <w:pStyle w:val="Compact"/>
            </w:pPr>
            <w:r>
              <w:t xml:space="preserve">§2.2, §2.4 (national competition register; Tyrving scoring; HHI construction); S-M3 (performance scoring); S-M12 (data preparation)</w:t>
            </w:r>
          </w:p>
        </w:tc>
      </w:tr>
      <w:tr>
        <w:tc>
          <w:tcPr/>
          <w:p>
            <w:pPr>
              <w:pStyle w:val="Compact"/>
            </w:pPr>
            <w:r>
              <w:t xml:space="preserve">9 Bias</w:t>
            </w:r>
          </w:p>
        </w:tc>
        <w:tc>
          <w:tcPr/>
          <w:p>
            <w:pPr>
              <w:pStyle w:val="Compact"/>
            </w:pPr>
            <w:r>
              <w:t xml:space="preserve">Efforts to address potential sources of bias</w:t>
            </w:r>
          </w:p>
        </w:tc>
        <w:tc>
          <w:tcPr/>
          <w:p>
            <w:pPr>
              <w:pStyle w:val="Compact"/>
            </w:pPr>
            <w:r>
              <w:t xml:space="preserve">§2.5.1 (baseline-only design), §2.5.3 (exit-aligned + active-at-16 change model + athlete fixed-effects model, S-M6), S-M1 (landmark timing), §3.4/S-M7 (club confounding; club-grouped validation, S-M4), S-M10 (temporary gaps and returns), §4.2 (alternative explanations)</w:t>
            </w:r>
          </w:p>
        </w:tc>
      </w:tr>
      <w:tr>
        <w:tc>
          <w:tcPr/>
          <w:p>
            <w:pPr>
              <w:pStyle w:val="Compact"/>
            </w:pPr>
            <w:r>
              <w:t xml:space="preserve">10 Study size</w:t>
            </w:r>
          </w:p>
        </w:tc>
        <w:tc>
          <w:tcPr/>
          <w:p>
            <w:pPr>
              <w:pStyle w:val="Compact"/>
            </w:pPr>
            <w:r>
              <w:t xml:space="preserve">How the study size was arrived at</w:t>
            </w:r>
          </w:p>
        </w:tc>
        <w:tc>
          <w:tcPr/>
          <w:p>
            <w:pPr>
              <w:pStyle w:val="Compact"/>
            </w:pPr>
            <w:r>
              <w:t xml:space="preserve">§2.2 (full eligible population), §2.5.5 + S-M2 (detection capacity in lieu of a priori power)</w:t>
            </w:r>
          </w:p>
        </w:tc>
      </w:tr>
      <w:tr>
        <w:tc>
          <w:tcPr/>
          <w:p>
            <w:pPr>
              <w:pStyle w:val="Compact"/>
            </w:pPr>
            <w:r>
              <w:t xml:space="preserve">11 Quantitative variables</w:t>
            </w:r>
          </w:p>
        </w:tc>
        <w:tc>
          <w:tcPr/>
          <w:p>
            <w:pPr>
              <w:pStyle w:val="Compact"/>
            </w:pPr>
            <w:r>
              <w:t xml:space="preserve">How quantitative variables were handled; groupings</w:t>
            </w:r>
          </w:p>
        </w:tc>
        <w:tc>
          <w:tcPr/>
          <w:p>
            <w:pPr>
              <w:pStyle w:val="Compact"/>
            </w:pPr>
            <w:r>
              <w:t xml:space="preserve">§2.4, §2.5.1 (z-standardization, within training folds in cross-validation; per-SD effects; threshold grid in §2.5.3/Table 6)</w:t>
            </w:r>
          </w:p>
        </w:tc>
      </w:tr>
      <w:tr>
        <w:tc>
          <w:tcPr/>
          <w:p>
            <w:pPr>
              <w:pStyle w:val="Compact"/>
            </w:pPr>
            <w:r>
              <w:t xml:space="preserve">12 Statistical methods (a)</w:t>
            </w:r>
          </w:p>
        </w:tc>
        <w:tc>
          <w:tcPr/>
          <w:p>
            <w:pPr>
              <w:pStyle w:val="Compact"/>
            </w:pPr>
            <w:r>
              <w:t xml:space="preserve">All statistical methods, including confounding control</w:t>
            </w:r>
          </w:p>
        </w:tc>
        <w:tc>
          <w:tcPr/>
          <w:p>
            <w:pPr>
              <w:pStyle w:val="Compact"/>
            </w:pPr>
            <w:r>
              <w:t xml:space="preserve">§2.5.1–2.5.6; S-M1–S-M12</w:t>
            </w:r>
          </w:p>
        </w:tc>
      </w:tr>
      <w:tr>
        <w:tc>
          <w:tcPr/>
          <w:p>
            <w:pPr>
              <w:pStyle w:val="Compact"/>
            </w:pPr>
            <w:r>
              <w:t xml:space="preserve">12 (b)</w:t>
            </w:r>
          </w:p>
        </w:tc>
        <w:tc>
          <w:tcPr/>
          <w:p>
            <w:pPr>
              <w:pStyle w:val="Compact"/>
            </w:pPr>
            <w:r>
              <w:t xml:space="preserve">Subgroups and interactions</w:t>
            </w:r>
          </w:p>
        </w:tc>
        <w:tc>
          <w:tcPr/>
          <w:p>
            <w:pPr>
              <w:pStyle w:val="Compact"/>
            </w:pPr>
            <w:r>
              <w:t xml:space="preserve">§2.5.2 (structural controls), Supplementary Table S7 (sex-stratified)</w:t>
            </w:r>
          </w:p>
        </w:tc>
      </w:tr>
      <w:tr>
        <w:tc>
          <w:tcPr/>
          <w:p>
            <w:pPr>
              <w:pStyle w:val="Compact"/>
            </w:pPr>
            <w:r>
              <w:t xml:space="preserve">12 (c)</w:t>
            </w:r>
          </w:p>
        </w:tc>
        <w:tc>
          <w:tcPr/>
          <w:p>
            <w:pPr>
              <w:pStyle w:val="Compact"/>
            </w:pPr>
            <w:r>
              <w:t xml:space="preserve">Missing data</w:t>
            </w:r>
          </w:p>
        </w:tc>
        <w:tc>
          <w:tcPr/>
          <w:p>
            <w:pPr>
              <w:pStyle w:val="Compact"/>
            </w:pPr>
            <w:r>
              <w:t xml:space="preserve">§2.5.5, S-M3, Supplementary Tables S12/S21/S25</w:t>
            </w:r>
          </w:p>
        </w:tc>
      </w:tr>
      <w:tr>
        <w:tc>
          <w:tcPr/>
          <w:p>
            <w:pPr>
              <w:pStyle w:val="Compact"/>
            </w:pPr>
            <w:r>
              <w:t xml:space="preserve">12 (d)</w:t>
            </w:r>
          </w:p>
        </w:tc>
        <w:tc>
          <w:tcPr/>
          <w:p>
            <w:pPr>
              <w:pStyle w:val="Compact"/>
            </w:pPr>
            <w:r>
              <w:t xml:space="preserve">Loss to follow-up</w:t>
            </w:r>
          </w:p>
        </w:tc>
        <w:tc>
          <w:tcPr/>
          <w:p>
            <w:pPr>
              <w:pStyle w:val="Compact"/>
            </w:pPr>
            <w:r>
              <w:t xml:space="preserve">§2.3 (complete register follow-up), §2.4.1 and §2.5.4 (censoring for athletes active 2024+), Supplementary Table S24 (fixed observation window); S-M10 and Supplementary Table S30 (temporary gaps and returns)</w:t>
            </w:r>
          </w:p>
        </w:tc>
      </w:tr>
      <w:tr>
        <w:tc>
          <w:tcPr/>
          <w:p>
            <w:pPr>
              <w:pStyle w:val="Compact"/>
            </w:pPr>
            <w:r>
              <w:t xml:space="preserve">12 (e)</w:t>
            </w:r>
          </w:p>
        </w:tc>
        <w:tc>
          <w:tcPr/>
          <w:p>
            <w:pPr>
              <w:pStyle w:val="Compact"/>
            </w:pPr>
            <w:r>
              <w:t xml:space="preserve">Sensitivity analyses</w:t>
            </w:r>
          </w:p>
        </w:tc>
        <w:tc>
          <w:tcPr/>
          <w:p>
            <w:pPr>
              <w:pStyle w:val="Compact"/>
            </w:pPr>
            <w:r>
              <w:t xml:space="preserve">§3.10; Supplementary Tables S2, S5, S9, S11, S20, S21, S22, S24, S26, S27, S29, S30</w:t>
            </w:r>
          </w:p>
        </w:tc>
      </w:tr>
      <w:tr>
        <w:tc>
          <w:tcPr/>
          <w:p>
            <w:pPr>
              <w:pStyle w:val="Compact"/>
            </w:pPr>
            <w:r>
              <w:t xml:space="preserve">13 Participants (a)</w:t>
            </w:r>
          </w:p>
        </w:tc>
        <w:tc>
          <w:tcPr/>
          <w:p>
            <w:pPr>
              <w:pStyle w:val="Compact"/>
            </w:pPr>
            <w:r>
              <w:t xml:space="preserve">Numbers at each stage</w:t>
            </w:r>
          </w:p>
        </w:tc>
        <w:tc>
          <w:tcPr/>
          <w:p>
            <w:pPr>
              <w:pStyle w:val="Compact"/>
            </w:pPr>
            <w:r>
              <w:t xml:space="preserve">Supplementary Figure S0 (flow diagram); Supplementary Table S12 (sample flow)</w:t>
            </w:r>
          </w:p>
        </w:tc>
      </w:tr>
      <w:tr>
        <w:tc>
          <w:tcPr/>
          <w:p>
            <w:pPr>
              <w:pStyle w:val="Compact"/>
            </w:pPr>
            <w:r>
              <w:t xml:space="preserve">13 (b)</w:t>
            </w:r>
          </w:p>
        </w:tc>
        <w:tc>
          <w:tcPr/>
          <w:p>
            <w:pPr>
              <w:pStyle w:val="Compact"/>
            </w:pPr>
            <w:r>
              <w:t xml:space="preserve">Reasons for non-participation</w:t>
            </w:r>
          </w:p>
        </w:tc>
        <w:tc>
          <w:tcPr/>
          <w:p>
            <w:pPr>
              <w:pStyle w:val="Compact"/>
            </w:pPr>
            <w:r>
              <w:t xml:space="preserve">§2.2 (boundary birth years; de-duplication)</w:t>
            </w:r>
          </w:p>
        </w:tc>
      </w:tr>
      <w:tr>
        <w:tc>
          <w:tcPr/>
          <w:p>
            <w:pPr>
              <w:pStyle w:val="Compact"/>
            </w:pPr>
            <w:r>
              <w:t xml:space="preserve">13 (c)</w:t>
            </w:r>
          </w:p>
        </w:tc>
        <w:tc>
          <w:tcPr/>
          <w:p>
            <w:pPr>
              <w:pStyle w:val="Compact"/>
            </w:pPr>
            <w:r>
              <w:t xml:space="preserve">Flow diagram</w:t>
            </w:r>
          </w:p>
        </w:tc>
        <w:tc>
          <w:tcPr/>
          <w:p>
            <w:pPr>
              <w:pStyle w:val="Compact"/>
            </w:pPr>
            <w:r>
              <w:t xml:space="preserve">Supplementary Figure S0</w:t>
            </w:r>
          </w:p>
        </w:tc>
      </w:tr>
      <w:tr>
        <w:tc>
          <w:tcPr/>
          <w:p>
            <w:pPr>
              <w:pStyle w:val="Compact"/>
            </w:pPr>
            <w:r>
              <w:t xml:space="preserve">14 Descriptive data (a)</w:t>
            </w:r>
          </w:p>
        </w:tc>
        <w:tc>
          <w:tcPr/>
          <w:p>
            <w:pPr>
              <w:pStyle w:val="Compact"/>
            </w:pPr>
            <w:r>
              <w:t xml:space="preserve">Characteristics of participants</w:t>
            </w:r>
          </w:p>
        </w:tc>
        <w:tc>
          <w:tcPr/>
          <w:p>
            <w:pPr>
              <w:pStyle w:val="Compact"/>
            </w:pPr>
            <w:r>
              <w:t xml:space="preserve">Table 1</w:t>
            </w:r>
          </w:p>
        </w:tc>
      </w:tr>
      <w:tr>
        <w:tc>
          <w:tcPr/>
          <w:p>
            <w:pPr>
              <w:pStyle w:val="Compact"/>
            </w:pPr>
            <w:r>
              <w:t xml:space="preserve">14 (b)</w:t>
            </w:r>
          </w:p>
        </w:tc>
        <w:tc>
          <w:tcPr/>
          <w:p>
            <w:pPr>
              <w:pStyle w:val="Compact"/>
            </w:pPr>
            <w:r>
              <w:t xml:space="preserve">Missing data per variable</w:t>
            </w:r>
          </w:p>
        </w:tc>
        <w:tc>
          <w:tcPr/>
          <w:p>
            <w:pPr>
              <w:pStyle w:val="Compact"/>
            </w:pPr>
            <w:r>
              <w:t xml:space="preserve">§2.5.5 (baseline Tyrving and sex missing for the same 2 athletes, 0.1%; HHI, volume and the outcome complete); Supplementary Table S25</w:t>
            </w:r>
          </w:p>
        </w:tc>
      </w:tr>
      <w:tr>
        <w:tc>
          <w:tcPr/>
          <w:p>
            <w:pPr>
              <w:pStyle w:val="Compact"/>
            </w:pPr>
            <w:r>
              <w:t xml:space="preserve">14 (c)</w:t>
            </w:r>
          </w:p>
        </w:tc>
        <w:tc>
          <w:tcPr/>
          <w:p>
            <w:pPr>
              <w:pStyle w:val="Compact"/>
            </w:pPr>
            <w:r>
              <w:t xml:space="preserve">Follow-up time</w:t>
            </w:r>
          </w:p>
        </w:tc>
        <w:tc>
          <w:tcPr/>
          <w:p>
            <w:pPr>
              <w:pStyle w:val="Compact"/>
            </w:pPr>
            <w:r>
              <w:t xml:space="preserve">§2.3 (9–14 years)</w:t>
            </w:r>
          </w:p>
        </w:tc>
      </w:tr>
      <w:tr>
        <w:tc>
          <w:tcPr/>
          <w:p>
            <w:pPr>
              <w:pStyle w:val="Compact"/>
            </w:pPr>
            <w:r>
              <w:t xml:space="preserve">15 Outcome data</w:t>
            </w:r>
          </w:p>
        </w:tc>
        <w:tc>
          <w:tcPr/>
          <w:p>
            <w:pPr>
              <w:pStyle w:val="Compact"/>
            </w:pPr>
            <w:r>
              <w:t xml:space="preserve">Numbers of outcome events over time</w:t>
            </w:r>
          </w:p>
        </w:tc>
        <w:tc>
          <w:tcPr/>
          <w:p>
            <w:pPr>
              <w:pStyle w:val="Compact"/>
            </w:pPr>
            <w:r>
              <w:t xml:space="preserve">§3.1 (retention rates), Table 2, Supplementary Figure S2</w:t>
            </w:r>
          </w:p>
        </w:tc>
      </w:tr>
      <w:tr>
        <w:tc>
          <w:tcPr/>
          <w:p>
            <w:pPr>
              <w:pStyle w:val="Compact"/>
            </w:pPr>
            <w:r>
              <w:t xml:space="preserve">16 Main results (a)</w:t>
            </w:r>
          </w:p>
        </w:tc>
        <w:tc>
          <w:tcPr/>
          <w:p>
            <w:pPr>
              <w:pStyle w:val="Compact"/>
            </w:pPr>
            <w:r>
              <w:t xml:space="preserve">Unadjusted and adjusted estimates with CIs; which confounders adjusted</w:t>
            </w:r>
          </w:p>
        </w:tc>
        <w:tc>
          <w:tcPr/>
          <w:p>
            <w:pPr>
              <w:pStyle w:val="Compact"/>
            </w:pPr>
            <w:r>
              <w:t xml:space="preserve">Table 3 (nested L1–L4), Supplementary Table S13</w:t>
            </w:r>
          </w:p>
        </w:tc>
      </w:tr>
      <w:tr>
        <w:tc>
          <w:tcPr/>
          <w:p>
            <w:pPr>
              <w:pStyle w:val="Compact"/>
            </w:pPr>
            <w:r>
              <w:t xml:space="preserve">16 (b)</w:t>
            </w:r>
          </w:p>
        </w:tc>
        <w:tc>
          <w:tcPr/>
          <w:p>
            <w:pPr>
              <w:pStyle w:val="Compact"/>
            </w:pPr>
            <w:r>
              <w:t xml:space="preserve">Category boundaries for categorized variables</w:t>
            </w:r>
          </w:p>
        </w:tc>
        <w:tc>
          <w:tcPr/>
          <w:p>
            <w:pPr>
              <w:pStyle w:val="Compact"/>
            </w:pPr>
            <w:r>
              <w:t xml:space="preserve">Table 6 (threshold grid)</w:t>
            </w:r>
          </w:p>
        </w:tc>
      </w:tr>
      <w:tr>
        <w:tc>
          <w:tcPr/>
          <w:p>
            <w:pPr>
              <w:pStyle w:val="Compact"/>
            </w:pPr>
            <w:r>
              <w:t xml:space="preserve">16 (c)</w:t>
            </w:r>
          </w:p>
        </w:tc>
        <w:tc>
          <w:tcPr/>
          <w:p>
            <w:pPr>
              <w:pStyle w:val="Compact"/>
            </w:pPr>
            <w:r>
              <w:t xml:space="preserve">Absolute risk translation</w:t>
            </w:r>
          </w:p>
        </w:tc>
        <w:tc>
          <w:tcPr/>
          <w:p>
            <w:pPr>
              <w:pStyle w:val="Compact"/>
            </w:pPr>
            <w:r>
              <w:t xml:space="preserve">§3.8/Table 6 (retention among flagged vs unflagged)</w:t>
            </w:r>
          </w:p>
        </w:tc>
      </w:tr>
      <w:tr>
        <w:tc>
          <w:tcPr/>
          <w:p>
            <w:pPr>
              <w:pStyle w:val="Compact"/>
            </w:pPr>
            <w:r>
              <w:t xml:space="preserve">17 Other analyses</w:t>
            </w:r>
          </w:p>
        </w:tc>
        <w:tc>
          <w:tcPr/>
          <w:p>
            <w:pPr>
              <w:pStyle w:val="Compact"/>
            </w:pPr>
            <w:r>
              <w:t xml:space="preserve">Subgroup, interaction, sensitivity analyses</w:t>
            </w:r>
          </w:p>
        </w:tc>
        <w:tc>
          <w:tcPr/>
          <w:p>
            <w:pPr>
              <w:pStyle w:val="Compact"/>
            </w:pPr>
            <w:r>
              <w:t xml:space="preserve">§3.4–3.10; Supplementary Tables S1–S32</w:t>
            </w:r>
          </w:p>
        </w:tc>
      </w:tr>
      <w:tr>
        <w:tc>
          <w:tcPr/>
          <w:p>
            <w:pPr>
              <w:pStyle w:val="Compact"/>
            </w:pPr>
            <w:r>
              <w:t xml:space="preserve">18 Key results</w:t>
            </w:r>
          </w:p>
        </w:tc>
        <w:tc>
          <w:tcPr/>
          <w:p>
            <w:pPr>
              <w:pStyle w:val="Compact"/>
            </w:pPr>
            <w:r>
              <w:t xml:space="preserve">Summarize with reference to objectives</w:t>
            </w:r>
          </w:p>
        </w:tc>
        <w:tc>
          <w:tcPr/>
          <w:p>
            <w:pPr>
              <w:pStyle w:val="Compact"/>
            </w:pPr>
            <w:r>
              <w:t xml:space="preserve">§4.1</w:t>
            </w:r>
          </w:p>
        </w:tc>
      </w:tr>
      <w:tr>
        <w:tc>
          <w:tcPr/>
          <w:p>
            <w:pPr>
              <w:pStyle w:val="Compact"/>
            </w:pPr>
            <w:r>
              <w:t xml:space="preserve">19 Limitations</w:t>
            </w:r>
          </w:p>
        </w:tc>
        <w:tc>
          <w:tcPr/>
          <w:p>
            <w:pPr>
              <w:pStyle w:val="Compact"/>
            </w:pPr>
            <w:r>
              <w:t xml:space="preserve">Sources of bias, imprecision, direction/magnitude</w:t>
            </w:r>
          </w:p>
        </w:tc>
        <w:tc>
          <w:tcPr/>
          <w:p>
            <w:pPr>
              <w:pStyle w:val="Compact"/>
            </w:pPr>
            <w:r>
              <w:t xml:space="preserve">§4.9 (eight items, including applied limitations)</w:t>
            </w:r>
          </w:p>
        </w:tc>
      </w:tr>
      <w:tr>
        <w:tc>
          <w:tcPr/>
          <w:p>
            <w:pPr>
              <w:pStyle w:val="Compact"/>
            </w:pPr>
            <w:r>
              <w:t xml:space="preserve">20 Interpretation</w:t>
            </w:r>
          </w:p>
        </w:tc>
        <w:tc>
          <w:tcPr/>
          <w:p>
            <w:pPr>
              <w:pStyle w:val="Compact"/>
            </w:pPr>
            <w:r>
              <w:t xml:space="preserve">Cautious overall interpretation</w:t>
            </w:r>
          </w:p>
        </w:tc>
        <w:tc>
          <w:tcPr/>
          <w:p>
            <w:pPr>
              <w:pStyle w:val="Compact"/>
            </w:pPr>
            <w:r>
              <w:t xml:space="preserve">§4.2–4.7, §4.11</w:t>
            </w:r>
          </w:p>
        </w:tc>
      </w:tr>
      <w:tr>
        <w:tc>
          <w:tcPr/>
          <w:p>
            <w:pPr>
              <w:pStyle w:val="Compact"/>
            </w:pPr>
            <w:r>
              <w:t xml:space="preserve">21 Generalisability</w:t>
            </w:r>
          </w:p>
        </w:tc>
        <w:tc>
          <w:tcPr/>
          <w:p>
            <w:pPr>
              <w:pStyle w:val="Compact"/>
            </w:pPr>
            <w:r>
              <w:t xml:space="preserve">External validity</w:t>
            </w:r>
          </w:p>
        </w:tc>
        <w:tc>
          <w:tcPr/>
          <w:p>
            <w:pPr>
              <w:pStyle w:val="Compact"/>
            </w:pPr>
            <w:r>
              <w:t xml:space="preserve">§4.9 (boundary conditions), §2.2 (system description), §3.1 and Supplementary Table S31 (target population)</w:t>
            </w:r>
          </w:p>
        </w:tc>
      </w:tr>
      <w:tr>
        <w:tc>
          <w:tcPr/>
          <w:p>
            <w:pPr>
              <w:pStyle w:val="Compact"/>
            </w:pPr>
            <w:r>
              <w:t xml:space="preserve">22 Funding</w:t>
            </w:r>
          </w:p>
        </w:tc>
        <w:tc>
          <w:tcPr/>
          <w:p>
            <w:pPr>
              <w:pStyle w:val="Compact"/>
            </w:pPr>
            <w:r>
              <w:t xml:space="preserve">Source of funding and role</w:t>
            </w:r>
          </w:p>
        </w:tc>
        <w:tc>
          <w:tcPr/>
          <w:p>
            <w:pPr>
              <w:pStyle w:val="Compact"/>
            </w:pPr>
            <w:r>
              <w:t xml:space="preserve">Statements and Declarations (Funding statement)</w:t>
            </w:r>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2026-10-03T17:30:16Z</dcterms:created>
  <dcterms:modified xsi:type="dcterms:W3CDTF">2026-10-03T17:30:16Z</dcterms:modified>
</cp:coreProperties>
</file>

<file path=docProps/custom.xml><?xml version="1.0" encoding="utf-8"?>
<Properties xmlns="http://schemas.openxmlformats.org/officeDocument/2006/custom-properties" xmlns:vt="http://schemas.openxmlformats.org/officeDocument/2006/docPropsVTypes"/>
</file>