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highlights"/>
    <w:p>
      <w:pPr>
        <w:pStyle w:val="Heading1"/>
      </w:pPr>
      <w:r>
        <w:t xml:space="preserve">Highlights</w:t>
      </w:r>
    </w:p>
    <w:p>
      <w:pPr>
        <w:pStyle w:val="FirstParagraph"/>
      </w:pPr>
      <w:r>
        <w:t xml:space="preserve">(PSE requires 3-5 bullet points, each ≤85 characters incl. spaces)</w:t>
      </w:r>
    </w:p>
    <w:p>
      <w:pPr>
        <w:numPr>
          <w:ilvl w:val="0"/>
          <w:numId w:val="1001"/>
        </w:numPr>
      </w:pPr>
      <w:r>
        <w:t xml:space="preserve">Competition volume at age 15-16 predicts senior retention better than performance.</w:t>
      </w:r>
    </w:p>
    <w:p>
      <w:pPr>
        <w:numPr>
          <w:ilvl w:val="0"/>
          <w:numId w:val="1001"/>
        </w:numPr>
      </w:pPr>
      <w:r>
        <w:t xml:space="preserve">Future dropouts visibly reduce participation 2-3 years before formal exit.</w:t>
      </w:r>
    </w:p>
    <w:p>
      <w:pPr>
        <w:numPr>
          <w:ilvl w:val="0"/>
          <w:numId w:val="1001"/>
        </w:numPr>
      </w:pPr>
      <w:r>
        <w:t xml:space="preserve">Two independent birth cohorts (N=2,123) yield concordant behavioral patterns.</w:t>
      </w:r>
    </w:p>
    <w:p>
      <w:pPr>
        <w:numPr>
          <w:ilvl w:val="0"/>
          <w:numId w:val="1001"/>
        </w:numPr>
      </w:pPr>
      <w:r>
        <w:t xml:space="preserve">Pre-baseline behavioral indicators alone classify retention at AUC = 0.82.</w:t>
      </w:r>
    </w:p>
    <w:p>
      <w:pPr>
        <w:numPr>
          <w:ilvl w:val="0"/>
          <w:numId w:val="1001"/>
        </w:numPr>
      </w:pPr>
      <w:r>
        <w:t xml:space="preserve">Findings quantify the qualitative</w:t>
      </w:r>
      <w:r>
        <w:t xml:space="preserve"> </w:t>
      </w:r>
      <w:r>
        <w:t xml:space="preserve">“two-groups”</w:t>
      </w:r>
      <w:r>
        <w:t xml:space="preserve"> </w:t>
      </w:r>
      <w:r>
        <w:t xml:space="preserve">thesis (Espedalen, 2025).</w:t>
      </w:r>
    </w:p>
    <w:p>
      <w:r>
        <w:pict>
          <v:rect style="width:0;height:1.5pt" o:hralign="center" o:hrstd="t" o:hr="t"/>
        </w:pict>
      </w:r>
    </w:p>
    <w:bookmarkStart w:id="9" w:name="character-counts-must-be-85"/>
    <w:p>
      <w:pPr>
        <w:pStyle w:val="Heading2"/>
      </w:pPr>
      <w:r>
        <w:t xml:space="preserve">Character counts (must be ≤85)</w:t>
      </w:r>
    </w:p>
    <w:p>
      <w:pPr>
        <w:pStyle w:val="Compact"/>
        <w:numPr>
          <w:ilvl w:val="0"/>
          <w:numId w:val="1002"/>
        </w:numPr>
      </w:pPr>
      <w:r>
        <w:t xml:space="preserve">“Competition volume at age 15-16 predicts senior retention better than performance.”</w:t>
      </w:r>
      <w:r>
        <w:t xml:space="preserve"> </w:t>
      </w:r>
      <w:r>
        <w:t xml:space="preserve">= 84</w:t>
      </w:r>
    </w:p>
    <w:p>
      <w:pPr>
        <w:pStyle w:val="Compact"/>
        <w:numPr>
          <w:ilvl w:val="0"/>
          <w:numId w:val="1002"/>
        </w:numPr>
      </w:pPr>
      <w:r>
        <w:t xml:space="preserve">“Future dropouts visibly reduce participation 2-3 years before formal exit.”</w:t>
      </w:r>
      <w:r>
        <w:t xml:space="preserve"> </w:t>
      </w:r>
      <w:r>
        <w:t xml:space="preserve">= 74</w:t>
      </w:r>
    </w:p>
    <w:p>
      <w:pPr>
        <w:pStyle w:val="Compact"/>
        <w:numPr>
          <w:ilvl w:val="0"/>
          <w:numId w:val="1002"/>
        </w:numPr>
      </w:pPr>
      <w:r>
        <w:t xml:space="preserve">“Two independent birth cohorts (N=2,123) yield concordant behavioral patterns.”</w:t>
      </w:r>
      <w:r>
        <w:t xml:space="preserve"> </w:t>
      </w:r>
      <w:r>
        <w:t xml:space="preserve">= 77</w:t>
      </w:r>
    </w:p>
    <w:p>
      <w:pPr>
        <w:pStyle w:val="Compact"/>
        <w:numPr>
          <w:ilvl w:val="0"/>
          <w:numId w:val="1002"/>
        </w:numPr>
      </w:pPr>
      <w:r>
        <w:t xml:space="preserve">“Pre-baseline behavioral indicators alone classify retention at AUC = 0.82.”</w:t>
      </w:r>
      <w:r>
        <w:t xml:space="preserve"> </w:t>
      </w:r>
      <w:r>
        <w:t xml:space="preserve">= 74</w:t>
      </w:r>
    </w:p>
    <w:p>
      <w:pPr>
        <w:pStyle w:val="Compact"/>
        <w:numPr>
          <w:ilvl w:val="0"/>
          <w:numId w:val="1002"/>
        </w:numPr>
      </w:pPr>
      <w:r>
        <w:t xml:space="preserve">“Findings quantify the qualitative "two-groups" thesis (Espedalen, 2025).”</w:t>
      </w:r>
      <w:r>
        <w:t xml:space="preserve"> </w:t>
      </w:r>
      <w:r>
        <w:t xml:space="preserve">= 72</w:t>
      </w:r>
    </w:p>
    <w:p>
      <w:pPr>
        <w:pStyle w:val="FirstParagraph"/>
      </w:pPr>
      <w:r>
        <w:t xml:space="preserve">All within limit.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2026-05-17T19:34:10Z</dcterms:created>
  <dcterms:modified xsi:type="dcterms:W3CDTF">2026-05-17T19:34:10Z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