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[Date]</w:t>
      </w:r>
    </w:p>
    <w:p>
      <w:pPr>
        <w:pStyle w:val="BodyText"/>
      </w:pPr>
      <w:r>
        <w:t xml:space="preserve">Editors-in-Chief</w:t>
      </w:r>
      <w:r>
        <w:t xml:space="preserve"> </w:t>
      </w:r>
      <w:r>
        <w:rPr>
          <w:i/>
          <w:iCs/>
        </w:rPr>
        <w:t xml:space="preserve">Psychology of Sport and Exercise</w:t>
      </w:r>
    </w:p>
    <w:p>
      <w:pPr>
        <w:pStyle w:val="BodyText"/>
      </w:pPr>
      <w:r>
        <w:t xml:space="preserve">Dear Editors,</w:t>
      </w:r>
    </w:p>
    <w:p>
      <w:pPr>
        <w:pStyle w:val="BodyText"/>
      </w:pPr>
      <w:r>
        <w:t xml:space="preserve">I am pleased to submit the enclosed manuscript,</w:t>
      </w:r>
      <w:r>
        <w:t xml:space="preserve"> </w:t>
      </w:r>
      <w:r>
        <w:rPr>
          <w:b/>
          <w:bCs/>
        </w:rPr>
        <w:t xml:space="preserve">“Behavioral pathways out of youth competitive sport: A 14-year longitudinal registry study of Norwegian track and field athletes,”</w:t>
      </w:r>
      <w:r>
        <w:t xml:space="preserve"> </w:t>
      </w:r>
      <w:r>
        <w:t xml:space="preserve">for consideration as an original research article in</w:t>
      </w:r>
      <w:r>
        <w:t xml:space="preserve"> </w:t>
      </w:r>
      <w:r>
        <w:rPr>
          <w:i/>
          <w:iCs/>
        </w:rPr>
        <w:t xml:space="preserve">Psychology of Sport and Exercise</w:t>
      </w:r>
      <w:r>
        <w:t xml:space="preserve">.</w:t>
      </w:r>
    </w:p>
    <w:p>
      <w:pPr>
        <w:pStyle w:val="BodyText"/>
      </w:pPr>
      <w:r>
        <w:t xml:space="preserve">The paper addresses a question central to sport psychology and youth sport policy:</w:t>
      </w:r>
      <w:r>
        <w:t xml:space="preserve"> </w:t>
      </w:r>
      <w:r>
        <w:rPr>
          <w:i/>
          <w:iCs/>
        </w:rPr>
        <w:t xml:space="preserve">why do adolescents leave organized competitive sport, and can the process be detected before it concludes?</w:t>
      </w:r>
      <w:r>
        <w:t xml:space="preserve"> </w:t>
      </w:r>
      <w:r>
        <w:t xml:space="preserve">The qualitative literature has long argued that dropout is a deliberative, longitudinal process rather than a single decision — most recently in Espedalen’s (2025) doctoral work characterizing two distinct sub-populations within Norwegian youth sport, and in Eliasson and Johansson’s (2021) interview-based account of withdrawal as a multi-year emotional process. Yet quantitative work has tended to examine narrower questions (relative age effects, early specialization, performance trajectories) without testing the qualitative observations directly. This manuscript bridges that gap.</w:t>
      </w:r>
    </w:p>
    <w:p>
      <w:pPr>
        <w:pStyle w:val="BodyText"/>
      </w:pPr>
      <w:r>
        <w:t xml:space="preserve">Using the Norwegian Athletics Federation’s complete public competition register, I followed all 2,123 athletes who entered five consecutive editions of a regional youth track-and-field meet (2011–2016) for up to 14 years. The registry-based design eliminates the selection bias that affects survey research on dropout (where dropped-out athletes are systematically harder to recruit) and the recall bias that affects retrospective interviews. The 14-year follow-up window is, to my knowledge, the longest yet published for a youth sport dropout cohort with continuous behavioral observation.</w:t>
      </w:r>
    </w:p>
    <w:p>
      <w:pPr>
        <w:pStyle w:val="BodyText"/>
      </w:pPr>
      <w:r>
        <w:rPr>
          <w:b/>
          <w:bCs/>
        </w:rPr>
        <w:t xml:space="preserve">The principal findings.</w:t>
      </w:r>
      <w:r>
        <w:t xml:space="preserve"> </w:t>
      </w:r>
      <w:r>
        <w:t xml:space="preserve">First, competition volume at age 15–16 is the strongest single predictor of senior retention, raising the Cox C-index from 0.57 (sex + performance + specialization) to 0.85 in a single step. Second, future dropouts visibly reduce their participation 2–3 years before formal exit, making the behavioral signal of imminent dropout observable while athletes are still nominally active. Third, the pattern replicates across two independent birth-year cohorts (1998–2000 and 2001–2002) with concordant magnitude and direction.</w:t>
      </w:r>
    </w:p>
    <w:p>
      <w:pPr>
        <w:pStyle w:val="BodyText"/>
      </w:pPr>
      <w:r>
        <w:rPr>
          <w:b/>
          <w:bCs/>
        </w:rPr>
        <w:t xml:space="preserve">Fit with PSE.</w:t>
      </w:r>
      <w:r>
        <w:t xml:space="preserve"> </w:t>
      </w:r>
      <w:r>
        <w:t xml:space="preserve">The manuscript is a strong fit for</w:t>
      </w:r>
      <w:r>
        <w:t xml:space="preserve"> </w:t>
      </w:r>
      <w:r>
        <w:rPr>
          <w:i/>
          <w:iCs/>
        </w:rPr>
        <w:t xml:space="preserve">Psychology of Sport and Exercise</w:t>
      </w:r>
      <w:r>
        <w:t xml:space="preserve"> </w:t>
      </w:r>
      <w:r>
        <w:t xml:space="preserve">on three grounds. First, the central theoretical scaffolding spans Sport Commitment Model (Scanlan et al., 1993, 2016), Self-determination theory (Ryan &amp; Deci, 2000; Vallerand, 1997, 2007; Sarrazin et al., 2002), and the withdrawal-as-process tradition (Eliasson &amp; Johansson, 2021; Espedalen &amp; Seippel, 2022) — all PSE-aligned frameworks; Scanlan’s SCQ-2 was published in PSE itself. Second, the design supplies the kind of</w:t>
      </w:r>
      <w:r>
        <w:t xml:space="preserve"> </w:t>
      </w:r>
      <w:r>
        <w:rPr>
          <w:i/>
          <w:iCs/>
        </w:rPr>
        <w:t xml:space="preserve">behavioral</w:t>
      </w:r>
      <w:r>
        <w:t xml:space="preserve"> </w:t>
      </w:r>
      <w:r>
        <w:t xml:space="preserve">longitudinal evidence that complements PSE’s strong qualitative and survey-based tradition. Third, the practical implications — that federations and clubs can use register-based behavioral surveillance to identify athletes at risk of dropout with 2–3 years of lead time — are directly actionable for the applied audiences PSE serves.</w:t>
      </w:r>
    </w:p>
    <w:p>
      <w:pPr>
        <w:pStyle w:val="BodyText"/>
      </w:pPr>
      <w:r>
        <w:rPr>
          <w:b/>
          <w:bCs/>
        </w:rPr>
        <w:t xml:space="preserve">Methodological rigor.</w:t>
      </w:r>
      <w:r>
        <w:t xml:space="preserve"> </w:t>
      </w:r>
      <w:r>
        <w:t xml:space="preserve">I have made every effort to anticipate the methodological concerns that arise with observational survival analysis at this scale: the proportional-hazards assumption was tested (Schoenfeld residuals, Table S1) and addressed where violated via period-specific Cox modelling (Table 4); the sensitivity of the dominant effect to unmeasured confounding is quantified via E-value (E = 5.16, Table S3); estimates are robust to clustering by club (Table S2) and to mean-imputation of missing data (Table S5); and a sample-size sensitivity is reported (Table S4). Seven supplementary tables (S1–S7) document these robustness checks.</w:t>
      </w:r>
    </w:p>
    <w:p>
      <w:pPr>
        <w:pStyle w:val="BodyText"/>
      </w:pPr>
      <w:r>
        <w:rPr>
          <w:b/>
          <w:bCs/>
        </w:rPr>
        <w:t xml:space="preserve">Compliance and length.</w:t>
      </w:r>
      <w:r>
        <w:t xml:space="preserve"> </w:t>
      </w:r>
      <w:r>
        <w:t xml:space="preserve">The main manuscript runs approximately 7,000 words plus a 1,200-word reference list, with seven main tables and five figures. With references included, the total is approximately 8,300 words — slightly above the journal’s 8,000-word target. I respectfully request consideration of this length on the grounds that the additional words are concentrated in (i) methodological rigor (PH testing, time-varying analysis, E-value, sensitivity analyses) that anticipates reviewer concerns and (ii) theoretical triangulation across three pre-existing frameworks that establishes the contribution. Supplementary Tables S1–S7 are housed in supplementary material and do not contribute to main-text length. The analysis follows STROBE reporting guidance for observational studies (von Elm et al., 2007) and SAGER guidance for sex/gender reporting (Heidari et al., 2016). All data sources are public; no individual is identifiable in the analysis or the manuscript. The submission is prepared for double-anonymized peer review, with the title page submitted separately. The disclosure of generative-AI use in manuscript preparation appears in a dedicated section before the references list, per the journal’s policy. I confirm that the manuscript is not under consideration elsewhere and that I have no competing interests.</w:t>
      </w:r>
    </w:p>
    <w:p>
      <w:pPr>
        <w:pStyle w:val="BodyText"/>
      </w:pPr>
      <w:r>
        <w:t xml:space="preserve">I look forward to receiving the editors’ and reviewers’ feedback. Thank you for considering this work.</w:t>
      </w:r>
    </w:p>
    <w:p>
      <w:pPr>
        <w:pStyle w:val="BodyText"/>
      </w:pPr>
      <w:r>
        <w:t xml:space="preserve">Sincerely,</w:t>
      </w:r>
    </w:p>
    <w:p>
      <w:pPr>
        <w:pStyle w:val="BodyText"/>
      </w:pPr>
      <w:r>
        <w:rPr>
          <w:b/>
          <w:bCs/>
        </w:rPr>
        <w:t xml:space="preserve">Atle Guttormsen, PhD</w:t>
      </w:r>
      <w:r>
        <w:t xml:space="preserve"> </w:t>
      </w:r>
      <w:r>
        <w:t xml:space="preserve">School of Economics and Business</w:t>
      </w:r>
      <w:r>
        <w:t xml:space="preserve"> </w:t>
      </w:r>
      <w:r>
        <w:t xml:space="preserve">Norwegian University of Life Sciences (NMBU)</w:t>
      </w:r>
      <w:r>
        <w:t xml:space="preserve"> </w:t>
      </w:r>
      <w:r>
        <w:t xml:space="preserve">atle.guttormsen@nmbu.no</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2026-05-17T22:33:08Z</dcterms:created>
  <dcterms:modified xsi:type="dcterms:W3CDTF">2026-05-17T22:33:08Z</dcterms:modified>
</cp:coreProperties>
</file>

<file path=docProps/custom.xml><?xml version="1.0" encoding="utf-8"?>
<Properties xmlns="http://schemas.openxmlformats.org/officeDocument/2006/custom-properties" xmlns:vt="http://schemas.openxmlformats.org/officeDocument/2006/docPropsVTypes"/>
</file>