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2.png" ContentType="image/png"/>
  <Override PartName="/word/media/rId45.png" ContentType="image/png"/>
  <Override PartName="/word/media/rId48.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2e4d26323c44b0e13220bcda9ef56874f9a7a62"/>
    <w:p>
      <w:pPr>
        <w:pStyle w:val="Heading1"/>
      </w:pPr>
      <w:r>
        <w:t xml:space="preserve">Behavioral pathways out of youth competitive sport: A 14-year longitudinal registry study of Norwegian track and field athletes</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Qualitative research has characterized youth sport dropout as a gradual, deliberative process in which young athletes divide into a deeply committed minority and a larger group oriented toward easily accessible enjoyment. This study provides the first longitudinal registry-based quantification of those behavioral pathways.</w:t>
      </w:r>
    </w:p>
    <w:p>
      <w:pPr>
        <w:pStyle w:val="BodyText"/>
      </w:pPr>
      <w:r>
        <w:rPr>
          <w:b/>
          <w:bCs/>
        </w:rPr>
        <w:t xml:space="preserve">Method.</w:t>
      </w:r>
      <w:r>
        <w:t xml:space="preserve"> </w:t>
      </w:r>
      <w:r>
        <w:t xml:space="preserve">We followed all 2,123 Norwegian youth athletes (ages 13–14) who participated in five consecutive editions of a regional grassroots track-and-field meet between 2011 and 2016 (birth cohorts 1998–2002). Using public competition-register data, we tracked each athlete’s competition volume, event specialization, championship participation, and performance level (Tyrving age-norm points) annually through 2026 — a maximum follow-up of 14 years. Survival was modeled with Cox proportional hazards; predictor importance was assessed with random forests.</w:t>
      </w:r>
    </w:p>
    <w:p>
      <w:pPr>
        <w:pStyle w:val="BodyText"/>
      </w:pPr>
      <w:r>
        <w:rPr>
          <w:b/>
          <w:bCs/>
        </w:rPr>
        <w:t xml:space="preserve">Results.</w:t>
      </w:r>
      <w:r>
        <w:t xml:space="preserve"> </w:t>
      </w:r>
      <w:r>
        <w:t xml:space="preserve">Competition volume at age 15–16 was the strongest single predictor of senior retention (age ≥20), more than tripling the predictive accuracy of performance- and specialization-based models (Cox C-index 0.85 vs. 0.57). Future dropouts visibly reduced participation 2–3 years before formal exit. Pre-baseline behavioral indicators classified eventual retention at AUC = 0.82. Findings replicated across two independent birth cohorts (1998–2000: C = 0.835; 2001–2002: C = 0.852). Performance level (Tyrving points) and early specialization (Herfindahl–Hirschman index) added little after behavioral indicators were entered.</w:t>
      </w:r>
    </w:p>
    <w:p>
      <w:pPr>
        <w:pStyle w:val="BodyText"/>
      </w:pPr>
      <w:r>
        <w:rPr>
          <w:b/>
          <w:bCs/>
        </w:rPr>
        <w:t xml:space="preserve">Conclusions.</w:t>
      </w:r>
      <w:r>
        <w:t xml:space="preserve"> </w:t>
      </w:r>
      <w:r>
        <w:t xml:space="preserve">Youth-sport dropout is a behavioral phenomenon detectable years before formal exit. Registry-based behavioral surveillance can complement survey research by providing practical, real-time markers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the children who participate at age 13 have left organized competition by age 17 (Bakken, 2019; Norges Idrettsforbund, 2024). The pattern is so consistent that it has become a recurring concern for federations, clubs, and policymakers who must allocate scarce coaching, facility, and program resources across a thinning developmental pipeline.</w:t>
      </w:r>
    </w:p>
    <w:bookmarkEnd w:id="10"/>
    <w:bookmarkStart w:id="11" w:name="X72f12df8a86e559d1a7f1ff92b78e508c4af554"/>
    <w:p>
      <w:pPr>
        <w:pStyle w:val="Heading2"/>
      </w:pPr>
      <w:r>
        <w:t xml:space="preserve">1.1 Theoretical accounts of youth-sport withdrawal</w:t>
      </w:r>
    </w:p>
    <w:p>
      <w:pPr>
        <w:pStyle w:val="FirstParagraph"/>
      </w:pPr>
      <w:r>
        <w:t xml:space="preserve">Three complementary theoretical traditions have shaped contemporary understanding of why adolescents leave competitive sport. Each highlights</w:t>
      </w:r>
      <w:r>
        <w:t xml:space="preserve"> </w:t>
      </w:r>
      <w:r>
        <w:rPr>
          <w:i/>
          <w:iCs/>
        </w:rPr>
        <w:t xml:space="preserve">behavioral engagement</w:t>
      </w:r>
      <w:r>
        <w:t xml:space="preserve"> </w:t>
      </w:r>
      <w:r>
        <w:t xml:space="preserve">— rather than absolute performance — as the proximal mechanism.</w:t>
      </w:r>
    </w:p>
    <w:p>
      <w:pPr>
        <w:pStyle w:val="BodyText"/>
      </w:pPr>
      <w:r>
        <w:rPr>
          <w:b/>
          <w:bCs/>
        </w:rPr>
        <w:t xml:space="preserve">The Sport Commitment Model</w:t>
      </w:r>
      <w:r>
        <w:t xml:space="preserve"> </w:t>
      </w:r>
      <w:r>
        <w:t xml:space="preserve">(Scanlan et al., 1993, 2016) characterizes continued participation as a function of sport enjoyment, personal investments, social constraints, involvement opportunities, and attractive alternatives. Recent extensions distinguish</w:t>
      </w:r>
      <w:r>
        <w:t xml:space="preserve"> </w:t>
      </w:r>
      <w:r>
        <w:rPr>
          <w:i/>
          <w:iCs/>
        </w:rPr>
        <w:t xml:space="preserve">enthusiastic commitment</w:t>
      </w:r>
      <w:r>
        <w:t xml:space="preserve"> </w:t>
      </w:r>
      <w:r>
        <w:t xml:space="preserve">(driven primarily by enjoyment and identity) from</w:t>
      </w:r>
      <w:r>
        <w:t xml:space="preserve"> </w:t>
      </w:r>
      <w:r>
        <w:rPr>
          <w:i/>
          <w:iCs/>
        </w:rPr>
        <w:t xml:space="preserve">constrained commitment</w:t>
      </w:r>
      <w:r>
        <w:t xml:space="preserve"> </w:t>
      </w:r>
      <w:r>
        <w:t xml:space="preserve">(driven by perceived obligation, sunk-cost investment, or limited alternatives), and predict that constrained commitment is more fragile in the face of escalating demands (Scanlan et al., 2016). On this account, dropout signals the dissolution of the enjoyment-investment balance, not the failure of a performance threshold.</w:t>
      </w:r>
    </w:p>
    <w:p>
      <w:pPr>
        <w:pStyle w:val="BodyText"/>
      </w:pPr>
      <w:r>
        <w:rPr>
          <w:b/>
          <w:bCs/>
        </w:rPr>
        <w:t xml:space="preserve">Self-determination theory</w:t>
      </w:r>
      <w:r>
        <w:t xml:space="preserve"> </w:t>
      </w:r>
      <w:r>
        <w:t xml:space="preserve">(Ryan &amp; Deci, 2000) and its sport-applied extensions (Vallerand, 1997, 2007) make a parallel prediction: athletes whose participation is driven by intrinsic and well-internalized extrinsic motivations sustain engagement, whereas athletes driven by external pressures (e.g., parental expectations, peer status) disengage when the cost of compliance rises. Sarrazin and colleagues’ (2002) 21-month prospective study of female handball players found that motivational quality at baseline predicted dropout one to two years later — an early indication that the dropout process unfolds longitudinally rather than at a single decision point.</w:t>
      </w:r>
    </w:p>
    <w:p>
      <w:pPr>
        <w:pStyle w:val="BodyText"/>
      </w:pPr>
      <w:r>
        <w:rPr>
          <w:b/>
          <w:bCs/>
        </w:rPr>
        <w:t xml:space="preserve">The withdrawal-as-process tradition</w:t>
      </w:r>
      <w:r>
        <w:t xml:space="preserve"> </w:t>
      </w:r>
      <w:r>
        <w:t xml:space="preserve">(Eliasson &amp; Johansson, 2021; Espedalen &amp; Seippel, 2022) integrates these accounts with sociological theories of role exit (Ebaugh, 1988) to argue that disengagement from organized sport is a gradual deliberation over costs and benefits, often lasting one to two years and frequently passing through</w:t>
      </w:r>
      <w:r>
        <w:t xml:space="preserve"> </w:t>
      </w:r>
      <w:r>
        <w:t xml:space="preserve">“still nominally participating but withdrawing”</w:t>
      </w:r>
      <w:r>
        <w:t xml:space="preserve"> </w:t>
      </w:r>
      <w:r>
        <w:t xml:space="preserve">intermediate states. Espedalen and Seippel (2022), surveying 1,648 Norwegian adolescent dropouts, document that the modal reason for leaving is not loss of competitive ability but a shifting evaluation of effort against alternative life domains.</w:t>
      </w:r>
    </w:p>
    <w:p>
      <w:pPr>
        <w:pStyle w:val="BodyText"/>
      </w:pPr>
      <w:r>
        <w:t xml:space="preserve">A complementary qualitative observation from Espedalen’s wider doctoral programme is that organized youth sport typically contains</w:t>
      </w:r>
      <w:r>
        <w:t xml:space="preserve"> </w:t>
      </w:r>
      <w:r>
        <w:rPr>
          <w:i/>
          <w:iCs/>
        </w:rPr>
        <w:t xml:space="preserve">two distinct populations</w:t>
      </w:r>
      <w:r>
        <w:t xml:space="preserve">: a smaller, deeply committed group whose sport identity is robustly integrated with their wider lives, and a larger casually-oriented group oriented toward accessible enjoyment that readily moves between activities (Espedalen, 2025; for an analogous</w:t>
      </w:r>
      <w:r>
        <w:t xml:space="preserve"> </w:t>
      </w:r>
      <w:r>
        <w:t xml:space="preserve">“investors”</w:t>
      </w:r>
      <w:r>
        <w:t xml:space="preserve"> </w:t>
      </w:r>
      <w:r>
        <w:t xml:space="preserve">versus</w:t>
      </w:r>
      <w:r>
        <w:t xml:space="preserve"> </w:t>
      </w:r>
      <w:r>
        <w:t xml:space="preserve">“samplers”</w:t>
      </w:r>
      <w:r>
        <w:t xml:space="preserve"> </w:t>
      </w:r>
      <w:r>
        <w:t xml:space="preserve">distinction in elite-track development, see Wall &amp; Côté, 2007). When the demands of organized sport escalate around the qualification milestone years — in Norwegian track and field, the Youth National Championships at age 15-16 and the Junior National Championships at age 17-19 — the second group withdraws.</w:t>
      </w:r>
    </w:p>
    <w:p>
      <w:pPr>
        <w:pStyle w:val="BodyText"/>
      </w:pPr>
      <w:r>
        <w:t xml:space="preserve">These accounts converge on three structural features of youth-sport dropout. First, dropout is</w:t>
      </w:r>
      <w:r>
        <w:t xml:space="preserve"> </w:t>
      </w:r>
      <w:r>
        <w:rPr>
          <w:i/>
          <w:iCs/>
        </w:rPr>
        <w:t xml:space="preserve">gradual</w:t>
      </w:r>
      <w:r>
        <w:t xml:space="preserve"> </w:t>
      </w:r>
      <w:r>
        <w:t xml:space="preserve">— a deliberative process during which an athlete progressively disengages while still nominally participating. Second, the relevant signal is</w:t>
      </w:r>
      <w:r>
        <w:t xml:space="preserve"> </w:t>
      </w:r>
      <w:r>
        <w:rPr>
          <w:i/>
          <w:iCs/>
        </w:rPr>
        <w:t xml:space="preserve">behavioral</w:t>
      </w:r>
      <w:r>
        <w:t xml:space="preserve"> </w:t>
      </w:r>
      <w:r>
        <w:t xml:space="preserve">rather than performance-based: athletes do not leave because they cannot keep up with peers, but because the activity’s costs cease to outweigh its rewards. Third, the</w:t>
      </w:r>
      <w:r>
        <w:t xml:space="preserve"> </w:t>
      </w:r>
      <w:r>
        <w:rPr>
          <w:i/>
          <w:iCs/>
        </w:rPr>
        <w:t xml:space="preserve">milestone years</w:t>
      </w:r>
      <w:r>
        <w:t xml:space="preserve"> </w:t>
      </w:r>
      <w:r>
        <w:t xml:space="preserve">are pivotal — moments at which the implicit contract between athlete and federation becomes explicit through selection events.</w:t>
      </w:r>
    </w:p>
    <w:bookmarkEnd w:id="11"/>
    <w:bookmarkStart w:id="12" w:name="quantitative-gaps"/>
    <w:p>
      <w:pPr>
        <w:pStyle w:val="Heading2"/>
      </w:pPr>
      <w:r>
        <w:t xml:space="preserve">1.2 Quantitative gaps</w:t>
      </w:r>
    </w:p>
    <w:p>
      <w:pPr>
        <w:pStyle w:val="FirstParagraph"/>
      </w:pPr>
      <w:r>
        <w:t xml:space="preserve">Quantitative research, by contrast, has tended to focus on more readily measurable but conceptually narrower predictors. Relative age effects in youth-sport selection are well documented (Cobley et al., 2009; Wattie et al., 2015). Early sport specialization has been examined both as a developmental risk (DiFiori et al., 2014; Jayanthi et al., 2015) and as a protective factor for elite outcomes (Güllich et al., 2022; Wall &amp; Côté, 2007). Survey instruments operationalizing the Sport Commitment Model (Scanlan et al., 2016) and self-determination constructs (Sarrazin et al., 2002) have predicted dropout over horizons of one to two years.</w:t>
      </w:r>
    </w:p>
    <w:p>
      <w:pPr>
        <w:pStyle w:val="BodyText"/>
      </w:pPr>
      <w:r>
        <w:t xml:space="preserve">What none of these literatures has been able to test is the</w:t>
      </w:r>
      <w:r>
        <w:t xml:space="preserve"> </w:t>
      </w:r>
      <w:r>
        <w:rPr>
          <w:i/>
          <w:iCs/>
        </w:rPr>
        <w:t xml:space="preserve">long-run behavioral signal</w:t>
      </w:r>
      <w:r>
        <w:t xml:space="preserve"> </w:t>
      </w:r>
      <w:r>
        <w:t xml:space="preserve">— the pattern of competitive engagement, year by year, that the qualitative accounts characterize as gradual and observable but pre-formal-exit. The reasons are structural: athletes who have already left a sport are systematically harder to recruit into surveys (Eime et al., 2013), and the timescale on which the theoretical process is hypothesized to unfold (1–3 years) exceeds the follow-up window of most survey designs.</w:t>
      </w:r>
    </w:p>
    <w:bookmarkEnd w:id="12"/>
    <w:bookmarkStart w:id="13" w:name="the-present-study"/>
    <w:p>
      <w:pPr>
        <w:pStyle w:val="Heading2"/>
      </w:pPr>
      <w:r>
        <w:t xml:space="preserve">1.3 The present study</w:t>
      </w:r>
    </w:p>
    <w:p>
      <w:pPr>
        <w:pStyle w:val="FirstParagraph"/>
      </w:pPr>
      <w:r>
        <w:t xml:space="preserve">Norwegian track and field maintains a publicly accessible competition register that records every officially timed result for every registered athlete back to the early 2010s, with full follow-up through the present. The register enables an unusual research design: identification of a complete population of 13-14-year-old participants at a single regional grassroots meet, then unobtrusive longitudinal observation of their competitive engagement — number of meets, events, and championships entered each year — across the entire adolescent and young-adult window. Because every entry is digitally timestamped and verified, the data are free from the recall bias that affects retrospective interviews and from the selection bias that affects prospective surveys.</w:t>
      </w:r>
    </w:p>
    <w:p>
      <w:pPr>
        <w:pStyle w:val="BodyText"/>
      </w:pPr>
      <w:r>
        <w:t xml:space="preserve">We use this register to test three preregistered-by-design hypotheses derived from the theoretical accounts above. First, behavioral trajectories of future retainers and future dropouts should diverge</w:t>
      </w:r>
      <w:r>
        <w:t xml:space="preserve"> </w:t>
      </w:r>
      <w:r>
        <w:rPr>
          <w:i/>
          <w:iCs/>
        </w:rPr>
        <w:t xml:space="preserve">before</w:t>
      </w:r>
      <w:r>
        <w:t xml:space="preserve"> </w:t>
      </w:r>
      <w:r>
        <w:t xml:space="preserve">formal exit — consistent with the</w:t>
      </w:r>
      <w:r>
        <w:t xml:space="preserve"> </w:t>
      </w:r>
      <w:r>
        <w:rPr>
          <w:i/>
          <w:iCs/>
        </w:rPr>
        <w:t xml:space="preserve">withdrawal-as-process</w:t>
      </w:r>
      <w:r>
        <w:t xml:space="preserve"> </w:t>
      </w:r>
      <w:r>
        <w:t xml:space="preserve">prediction (Eliasson &amp; Johansson, 2021; Espedalen &amp; Seippel, 2022). Second,</w:t>
      </w:r>
      <w:r>
        <w:t xml:space="preserve"> </w:t>
      </w:r>
      <w:r>
        <w:rPr>
          <w:i/>
          <w:iCs/>
        </w:rPr>
        <w:t xml:space="preserve">behavioral engagement</w:t>
      </w:r>
      <w:r>
        <w:t xml:space="preserve"> </w:t>
      </w:r>
      <w:r>
        <w:t xml:space="preserve">indicators (competition volume, breadth of championship participation, year-round activity) should predict eventual senior retention more strongly than baseline</w:t>
      </w:r>
      <w:r>
        <w:t xml:space="preserve"> </w:t>
      </w:r>
      <w:r>
        <w:rPr>
          <w:i/>
          <w:iCs/>
        </w:rPr>
        <w:t xml:space="preserve">performance</w:t>
      </w:r>
      <w:r>
        <w:t xml:space="preserve"> </w:t>
      </w:r>
      <w:r>
        <w:t xml:space="preserve">indicators — consistent with the Sport Commitment Model’s (Scanlan et al., 2016) prediction that enjoyment-investment balance drives continuation. Third, the predictive pattern should</w:t>
      </w:r>
      <w:r>
        <w:t xml:space="preserve"> </w:t>
      </w:r>
      <w:r>
        <w:rPr>
          <w:i/>
          <w:iCs/>
        </w:rPr>
        <w:t xml:space="preserve">replicate across cohorts</w:t>
      </w:r>
      <w:r>
        <w:t xml:space="preserve"> </w:t>
      </w:r>
      <w:r>
        <w:t xml:space="preserve">recruited under different sponsor regimes of the same meet — testing the robustness expected of a behavioral mechanism rather than a cohort-specific artefact.</w:t>
      </w:r>
    </w:p>
    <w:p>
      <w:pPr>
        <w:pStyle w:val="BodyText"/>
      </w:pPr>
      <w:r>
        <w:t xml:space="preserve">We address these questions in 2,123 Norwegian youth athletes followed for up to 14 years. The design treats competition-register data not as a substitute for survey research but as its complement: surveys access subjective meaning, registers access objective behavior. Where the two converge — as we will argue they do — the case for any single account is strengthened.</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programme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3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Secondary outcomes were</w:t>
      </w:r>
      <w:r>
        <w:t xml:space="preserve"> </w:t>
      </w:r>
      <w:r>
        <w:rPr>
          <w:i/>
          <w:iCs/>
        </w:rPr>
        <w:t xml:space="preserve">active age 17</w:t>
      </w:r>
      <w:r>
        <w:t xml:space="preserve">,</w:t>
      </w:r>
      <w:r>
        <w:t xml:space="preserve"> </w:t>
      </w:r>
      <w:r>
        <w:rPr>
          <w:i/>
          <w:iCs/>
        </w:rPr>
        <w:t xml:space="preserve">active age 18</w:t>
      </w:r>
      <w:r>
        <w:t xml:space="preserve">, and</w:t>
      </w:r>
      <w:r>
        <w:t xml:space="preserve"> </w:t>
      </w:r>
      <w:r>
        <w:rPr>
          <w:i/>
          <w:iCs/>
        </w:rPr>
        <w:t xml:space="preserve">continued activity in 2024 or later</w:t>
      </w:r>
      <w:r>
        <w:t xml:space="preserve">. An</w:t>
      </w:r>
      <w:r>
        <w:t xml:space="preserve"> </w:t>
      </w:r>
      <w:r>
        <w:rPr>
          <w:i/>
          <w:iCs/>
        </w:rPr>
        <w:t xml:space="preserve">active season</w:t>
      </w:r>
      <w:r>
        <w:t xml:space="preserve"> </w:t>
      </w:r>
      <w:r>
        <w:t xml:space="preserve">was operationalized as a calendar year with ≥2 registered results, to exclude athletes who returned to the register only sporadically.</w:t>
      </w:r>
    </w:p>
    <w:p>
      <w:pPr>
        <w:pStyle w:val="BodyText"/>
      </w:pPr>
      <w:r>
        <w:t xml:space="preserve">For survival analyses, we used</w:t>
      </w:r>
      <w:r>
        <w:t xml:space="preserve"> </w:t>
      </w:r>
      <w:r>
        <w:rPr>
          <w:b/>
          <w:bCs/>
        </w:rPr>
        <w:t xml:space="preserve">time to last active season</w:t>
      </w:r>
      <w:r>
        <w:t xml:space="preserve"> </w:t>
      </w:r>
      <w:r>
        <w:t xml:space="preserve">as duration and the absence of activity in 2024+ as the event indicator, with athletes still competing in 2024+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 We also derived a within-event, within-sex, within-meet percentile rank at baseline to give a complementary relative-performance measure that is robust to age-norm idiosyncrasies in the Tyrving table.</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 including</w:t>
      </w:r>
      <w:r>
        <w:t xml:space="preserve"> </w:t>
      </w:r>
      <w:r>
        <w:rPr>
          <w:b/>
          <w:bCs/>
        </w:rPr>
        <w:t xml:space="preserve">vol_pre_milepael</w:t>
      </w:r>
      <w:r>
        <w:t xml:space="preserve"> </w:t>
      </w:r>
      <w:r>
        <w:t xml:space="preserve">(sum of meets at ages 13–14),</w:t>
      </w:r>
      <w:r>
        <w:t xml:space="preserve"> </w:t>
      </w:r>
      <w:r>
        <w:rPr>
          <w:b/>
          <w:bCs/>
        </w:rPr>
        <w:t xml:space="preserve">vol_milepael</w:t>
      </w:r>
      <w:r>
        <w:t xml:space="preserve"> </w:t>
      </w:r>
      <w:r>
        <w:t xml:space="preserve">(sum of meets at ages 15–16, the qualification milestone window), and</w:t>
      </w:r>
      <w:r>
        <w:t xml:space="preserve"> </w:t>
      </w:r>
      <w:r>
        <w:rPr>
          <w:b/>
          <w:bCs/>
        </w:rPr>
        <w:t xml:space="preserve">vol_trend_milepael</w:t>
      </w:r>
      <w:r>
        <w:t xml:space="preserve"> </w:t>
      </w:r>
      <w:r>
        <w:t xml:space="preserve">(vol_milepael − vol_pre_milepael), as well as</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1"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modelled time from baseline to last active season using Cox (1972) proportional hazards regression. The model assumes</w:t>
      </w:r>
    </w:p>
    <w:p>
      <w:pPr>
        <w:pStyle w:val="BodyText"/>
      </w:pPr>
      <m:oMathPara>
        <m:oMathParaPr>
          <m:jc m:val="center"/>
        </m:oMathParaP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m:oMathPara>
    </w:p>
    <w:p>
      <w:pPr>
        <w:pStyle w:val="FirstParagraph"/>
      </w:pPr>
      <w:r>
        <w:t xml:space="preserve">where</w:t>
      </w:r>
      <w:r>
        <w:t xml:space="preserve"> </w:t>
      </w:r>
      <m:oMath>
        <m:r>
          <m:t>h</m:t>
        </m:r>
        <m:r>
          <m:rPr>
            <m:sty m:val="p"/>
          </m:rPr>
          <m:t>(</m:t>
        </m:r>
        <m:r>
          <m:t>t</m:t>
        </m:r>
        <m:r>
          <m:rPr>
            <m:sty m:val="p"/>
          </m:rPr>
          <m:t>∣</m:t>
        </m:r>
        <m:r>
          <m:rPr>
            <m:sty m:val="b"/>
          </m:rPr>
          <m:t>x</m:t>
        </m:r>
        <m:r>
          <m:rPr>
            <m:sty m:val="p"/>
          </m:rPr>
          <m:t>)</m:t>
        </m:r>
      </m:oMath>
      <w:r>
        <w:t xml:space="preserve"> </w:t>
      </w:r>
      <w:r>
        <w:t xml:space="preserve">is the hazard of dropout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We used Efron’s (1977) method for tied event times, which is the default in the lifelines package (Davidson-Pilon, 2024).</w:t>
      </w:r>
    </w:p>
    <w:p>
      <w:pPr>
        <w:pStyle w:val="BodyText"/>
      </w:pPr>
      <w:r>
        <w:t xml:space="preserve">Cox proportional hazards models were fitted in a stepwise sequence to characterize the unique contribution of each variable class: M1 (sex only), M2 (+ performance), M3 (+ specialization), M4 (+ competition volume at milestone), and M5 (+ championship types). The variable-entry order was theoretically driven, beginning with the variable class most commonly emphasized in prior literature (sex) and ending with the class motivated by our hypothesis (behavioral engagement). We did not perform data-driven variable selection (e.g., LASSO), because all candidate predictors were theoretically motivated; the goal was estimation of each class’s contribution, not model selection.</w:t>
      </w:r>
    </w:p>
    <w:p>
      <w:pPr>
        <w:pStyle w:val="BodyText"/>
      </w:pPr>
      <w:r>
        <w:t xml:space="preserve">Concordance indices (C-index; Harrell et al., 1996) gauged the discriminative gain at each step. Continuous covariates were standardized (z-scored) so that hazard ratios reflect per-SD effects.</w:t>
      </w:r>
    </w:p>
    <w:p>
      <w:pPr>
        <w:pStyle w:val="BodyText"/>
      </w:pPr>
      <w:r>
        <w:t xml:space="preserve">Kaplan–Meier curves were stratified by sex, by competition-volume strata at age 15–16 (0, 1–5, 6–15, 16–30, or 31+ meets), and by number of championship types entered before age 17.</w:t>
      </w:r>
    </w:p>
    <w:bookmarkEnd w:id="24"/>
    <w:bookmarkStart w:id="25" w:name="Xc4af58c3bdca806ec4d61dabf5626a0ee4f823a"/>
    <w:p>
      <w:pPr>
        <w:pStyle w:val="Heading3"/>
      </w:pPr>
      <w:r>
        <w:t xml:space="preserve">2.5.2 Proportional-hazards assumption and time-varying effects</w:t>
      </w:r>
    </w:p>
    <w:p>
      <w:pPr>
        <w:pStyle w:val="FirstParagraph"/>
      </w:pPr>
      <w:r>
        <w:t xml:space="preserve">We assessed the proportional-hazards assumption using Schoenfeld residuals (Grambsch &amp; Therneau, 1994). Where the assumption was violated for individual covariates, we re-estimated the model stratified on the violating variable (Therneau &amp; Grambsch, 2000) to confirm that effect estimates for the remaining covariates were robust to non-proportionality. To characterize the time-varying nature of the dominant predictor (competition volume at age 15–16), we additionally fitted period-specific Cox models in three follow-up windows (years 0–3, 3–6, and 6+ post-baseline), reporting HR with 95% confidence intervals separately for each window. This decomposition shows whether a covariate’s protective effect is concentrated in particular phases of the post-baseline career.</w:t>
      </w:r>
    </w:p>
    <w:bookmarkEnd w:id="25"/>
    <w:bookmarkStart w:id="26" w:name="Xdafa309572a81b5efce690b69482b39fd541783"/>
    <w:p>
      <w:pPr>
        <w:pStyle w:val="Heading3"/>
      </w:pPr>
      <w:r>
        <w:t xml:space="preserve">2.5.3 Sample size and minimum detectable effect</w:t>
      </w:r>
    </w:p>
    <w:p>
      <w:pPr>
        <w:pStyle w:val="FirstParagraph"/>
      </w:pPr>
      <w:r>
        <w:t xml:space="preserve">The design uses the complete population meeting inclusion criteria, so a-priori power in the conventional sense does not apply. To document detection capacity we computed the minimum detectable hazard ratio given the observed event count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H</m:t>
        </m:r>
        <m:sSub>
          <m:e>
            <m:r>
              <m:t>R</m:t>
            </m:r>
          </m:e>
          <m:sub>
            <m:r>
              <m:rPr>
                <m:sty m:val="p"/>
              </m:rPr>
              <m:t>min</m:t>
            </m:r>
          </m:sub>
        </m:sSub>
        <m:r>
          <m:rPr>
            <m:sty m:val="p"/>
          </m:rPr>
          <m:t>≈</m:t>
        </m:r>
        <m:r>
          <m:t>1.07</m:t>
        </m:r>
      </m:oMath>
      <w:r>
        <w:t xml:space="preserve"> </w:t>
      </w:r>
      <w:r>
        <w:t xml:space="preserve">at 80% power and</w:t>
      </w:r>
      <w:r>
        <w:t xml:space="preserve"> </w:t>
      </w:r>
      <m:oMath>
        <m:r>
          <m:t>α</m:t>
        </m:r>
        <m:r>
          <m:rPr>
            <m:sty m:val="p"/>
          </m:rPr>
          <m:t>=</m:t>
        </m:r>
        <m:r>
          <m:t>.05</m:t>
        </m:r>
      </m:oMath>
      <w:r>
        <w:t xml:space="preserve">, well below all reported effects of interest.</w:t>
      </w:r>
    </w:p>
    <w:bookmarkEnd w:id="26"/>
    <w:bookmarkStart w:id="27" w:name="missing-data-and-clustering"/>
    <w:p>
      <w:pPr>
        <w:pStyle w:val="Heading3"/>
      </w:pPr>
      <w:r>
        <w:t xml:space="preserve">2.5.4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(mean-imputation sensitivity);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7"/>
    <w:bookmarkStart w:id="28" w:name="random-forest-variable-importance"/>
    <w:p>
      <w:pPr>
        <w:pStyle w:val="Heading3"/>
      </w:pPr>
      <w:r>
        <w:t xml:space="preserve">2.5.5 Random forest variable importance</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Hyperparameter values were standard defaults; sensitivity to forest size and depth was negligible. Variable importance is reported as the mean decrease in Gini impurity. Cross-validated AUCs (5-fold stratified) compared nested subsets of predictors to gauge how much of the discriminative information is contained in (i) baseline performance, (ii) early specialization, (iii) competition volume across ages 13–16, and (iv) the full predictor set.</w:t>
      </w:r>
    </w:p>
    <w:bookmarkEnd w:id="28"/>
    <w:bookmarkStart w:id="29" w:name="Xec99986c91e88a6f9f7398bcb012a47b43e1240"/>
    <w:p>
      <w:pPr>
        <w:pStyle w:val="Heading3"/>
      </w:pPr>
      <w:r>
        <w:t xml:space="preserve">2.5.6 Cross-cohort replication and sensitivity to unmeasured confounding</w:t>
      </w:r>
    </w:p>
    <w:p>
      <w:pPr>
        <w:pStyle w:val="FirstParagraph"/>
      </w:pPr>
      <w:r>
        <w:t xml:space="preserve">To assess</w:t>
      </w:r>
      <w:r>
        <w:t xml:space="preserve"> </w:t>
      </w:r>
      <w:r>
        <w:rPr>
          <w:b/>
          <w:bCs/>
        </w:rPr>
        <w:t xml:space="preserve">cross-cohort replication</w:t>
      </w:r>
      <w:r>
        <w:t xml:space="preserve">, we re-estimated the full Cox model separately within Cohort A (1998–2000) and Cohort B (2001–2002). For the dominant covariate (vol_milepael) and for the championship-types count, we also computed the</w:t>
      </w:r>
      <w:r>
        <w:t xml:space="preserve"> </w:t>
      </w:r>
      <w:r>
        <w:rPr>
          <w:i/>
          <w:i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We additionally fitted subgroup Cox models within each sex stratum to assess effect-modification by sex.</w:t>
      </w:r>
    </w:p>
    <w:bookmarkEnd w:id="29"/>
    <w:bookmarkStart w:id="30" w:name="software"/>
    <w:p>
      <w:pPr>
        <w:pStyle w:val="Heading3"/>
      </w:pPr>
      <w:r>
        <w:t xml:space="preserve">2.5.7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0"/>
    <w:bookmarkEnd w:id="31"/>
    <w:bookmarkStart w:id="32"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2"/>
    <w:bookmarkStart w:id="33"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3"/>
    <w:bookmarkStart w:id="34" w:name="results"/>
    <w:p>
      <w:pPr>
        <w:pStyle w:val="Heading2"/>
      </w:pPr>
      <w:r>
        <w:t xml:space="preserve">3. Results</w:t>
      </w:r>
    </w:p>
    <w:bookmarkEnd w:id="34"/>
    <w:bookmarkStart w:id="35"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5"/>
    <w:bookmarkStart w:id="3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 15–16</w:t>
            </w:r>
          </w:p>
        </w:tc>
        <w:tc>
          <w:tcPr/>
          <w:p>
            <w:pPr>
              <w:pStyle w:val="Compact"/>
            </w:pPr>
            <w:r>
              <w:t xml:space="preserve">7</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6"/>
    <w:bookmarkStart w:id="40" w:name="X15504d371bf1c5fc8d582464e9b595ff00055c8"/>
    <w:p>
      <w:pPr>
        <w:pStyle w:val="Heading2"/>
      </w:pPr>
      <w:r>
        <w:t xml:space="preserve">3.2 Competition-volume trajectories diverge at the milestone year</w:t>
      </w:r>
    </w:p>
    <w:p>
      <w:pPr>
        <w:pStyle w:val="FirstParagraph"/>
      </w:pPr>
      <w:r>
        <w:t xml:space="preserve">Figure 1 presents the central behavioral observation.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by contrast, collapsed from 8 meets at age 14 to a median of 3 at age 15, 0 at age 16, and 0 thereafter. This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a gradual rather than abrupt withdrawal process.</w:t>
      </w:r>
    </w:p>
    <w:p>
      <w:pPr>
        <w:pStyle w:val="CaptionedFigure"/>
      </w:pPr>
      <w:r>
        <w:drawing>
          <wp:inline>
            <wp:extent cx="5334000" cy="3410682"/>
            <wp:effectExtent b="0" l="0" r="0" t="0"/>
            <wp:docPr descr="Figure 1" title="" id="38" name="Picture"/>
            <a:graphic>
              <a:graphicData uri="http://schemas.openxmlformats.org/drawingml/2006/picture">
                <pic:pic>
                  <pic:nvPicPr>
                    <pic:cNvPr descr="figures/fig1_volume_trajectory.png" id="39" name="Picture"/>
                    <pic:cNvPicPr>
                      <a:picLocks noChangeArrowheads="1" noChangeAspect="1"/>
                    </pic:cNvPicPr>
                  </pic:nvPicPr>
                  <pic:blipFill>
                    <a:blip r:embed="rId37"/>
                    <a:stretch>
                      <a:fillRect/>
                    </a:stretch>
                  </pic:blipFill>
                  <pic:spPr bwMode="auto">
                    <a:xfrm>
                      <a:off x="0" y="0"/>
                      <a:ext cx="5334000" cy="3410682"/>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Competition volume trajectory by senior-retention status. Median competitions per year (with interquartile range as shaded band) plotted by athlete age (13–18), separately for athletes who retained active senior status (≥1 season with ≥2 results at age ≥20; n = 348) and those who did not (n = 1,775). The dashed vertical line at age 15 marks the first qualification milestone (Norwegian Youth Championships). Future dropouts show declining participation already at age 15, while future retainers maintain or increase participation through age 17.</w:t>
      </w:r>
    </w:p>
    <w:bookmarkEnd w:id="40"/>
    <w:bookmarkStart w:id="41"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Trajectories diverge sharply from age 15.</w:t>
      </w:r>
    </w:p>
    <w:p>
      <w:r>
        <w:pict>
          <v:rect style="width:0;height:1.5pt" o:hralign="center" o:hrstd="t" o:hr="t"/>
        </w:pict>
      </w:r>
    </w:p>
    <w:bookmarkEnd w:id="41"/>
    <w:bookmarkStart w:id="51" w:name="survival-to-active-senior-age"/>
    <w:p>
      <w:pPr>
        <w:pStyle w:val="Heading2"/>
      </w:pPr>
      <w:r>
        <w:t xml:space="preserve">3.3 Survival to active senior age</w:t>
      </w:r>
    </w:p>
    <w:p>
      <w:pPr>
        <w:pStyle w:val="FirstParagraph"/>
      </w:pPr>
      <w:r>
        <w:t xml:space="preserve">Overall Kaplan-Meier retention is shown in Figure 2A. Half of the cohort had ceased active competition within 3 years of baseline; 75% had ceased within 5 years. The age-17 floor (corresponding to the transition from youth to junior competition) marks the steepest acceleration in dropout. The sex-stratified retention curves (Figure 2B) overlap throughout the follow-up window: a log-rank test detected no overall sex difference (χ² = 0.95, p = 0.33).</w:t>
      </w:r>
    </w:p>
    <w:p>
      <w:pPr>
        <w:pStyle w:val="CaptionedFigure"/>
      </w:pPr>
      <w:r>
        <w:drawing>
          <wp:inline>
            <wp:extent cx="5334000" cy="2115700"/>
            <wp:effectExtent b="0" l="0" r="0" t="0"/>
            <wp:docPr descr="Figure 2" title="" id="43" name="Picture"/>
            <a:graphic>
              <a:graphicData uri="http://schemas.openxmlformats.org/drawingml/2006/picture">
                <pic:pic>
                  <pic:nvPicPr>
                    <pic:cNvPr descr="figures/fig2_km_overall_sex.png" id="44" name="Picture"/>
                    <pic:cNvPicPr>
                      <a:picLocks noChangeArrowheads="1" noChangeAspect="1"/>
                    </pic:cNvPicPr>
                  </pic:nvPicPr>
                  <pic:blipFill>
                    <a:blip r:embed="rId42"/>
                    <a:stretch>
                      <a:fillRect/>
                    </a:stretch>
                  </pic:blipFill>
                  <pic:spPr bwMode="auto">
                    <a:xfrm>
                      <a:off x="0" y="0"/>
                      <a:ext cx="5334000" cy="21157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Kaplan–Meier retention curves.</w:t>
      </w:r>
      <w:r>
        <w:t xml:space="preserve"> </w:t>
      </w:r>
      <w:r>
        <w:rPr>
          <w:b/>
          <w:bCs/>
        </w:rPr>
        <w:t xml:space="preserve">(A)</w:t>
      </w:r>
      <w:r>
        <w:t xml:space="preserve"> </w:t>
      </w:r>
      <w:r>
        <w:t xml:space="preserve">Overall retention from baseline (age 13/14) over up to 14 years of follow-up; shaded band is 95% pointwise CI.</w:t>
      </w:r>
      <w:r>
        <w:t xml:space="preserve"> </w:t>
      </w:r>
      <w:r>
        <w:rPr>
          <w:b/>
          <w:bCs/>
        </w:rPr>
        <w:t xml:space="preserve">(B)</w:t>
      </w:r>
      <w:r>
        <w:t xml:space="preserve"> </w:t>
      </w:r>
      <w:r>
        <w:t xml:space="preserve">Retention stratified by sex (solid line = male, dashed line = female). Log-rank test for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(Figure 4) reveals the same pattern: athletes who competed in all four championship types (UM, JrNM, NM, KM) retained 91% senior activity, while athletes who entered zero championship types retained 5%.</w:t>
      </w:r>
    </w:p>
    <w:p>
      <w:pPr>
        <w:pStyle w:val="CaptionedFigure"/>
      </w:pPr>
      <w:r>
        <w:drawing>
          <wp:inline>
            <wp:extent cx="5334000" cy="3675761"/>
            <wp:effectExtent b="0" l="0" r="0" t="0"/>
            <wp:docPr descr="Figure 3" title="" id="46" name="Picture"/>
            <a:graphic>
              <a:graphicData uri="http://schemas.openxmlformats.org/drawingml/2006/picture">
                <pic:pic>
                  <pic:nvPicPr>
                    <pic:cNvPr descr="figures/fig3_km_vol_quintile.png" id="47" name="Picture"/>
                    <pic:cNvPicPr>
                      <a:picLocks noChangeArrowheads="1" noChangeAspect="1"/>
                    </pic:cNvPicPr>
                  </pic:nvPicPr>
                  <pic:blipFill>
                    <a:blip r:embed="rId45"/>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athletes in the lowest stratum retained 4%.</w:t>
      </w:r>
    </w:p>
    <w:p>
      <w:pPr>
        <w:pStyle w:val="CaptionedFigure"/>
      </w:pPr>
      <w:r>
        <w:drawing>
          <wp:inline>
            <wp:extent cx="5334000" cy="3985516"/>
            <wp:effectExtent b="0" l="0" r="0" t="0"/>
            <wp:docPr descr="Figure 4" title="" id="49" name="Picture"/>
            <a:graphic>
              <a:graphicData uri="http://schemas.openxmlformats.org/drawingml/2006/picture">
                <pic:pic>
                  <pic:nvPicPr>
                    <pic:cNvPr descr="figures/fig4_km_msk_typer.png" id="50" name="Picture"/>
                    <pic:cNvPicPr>
                      <a:picLocks noChangeArrowheads="1" noChangeAspect="1"/>
                    </pic:cNvPicPr>
                  </pic:nvPicPr>
                  <pic:blipFill>
                    <a:blip r:embed="rId48"/>
                    <a:stretch>
                      <a:fillRect/>
                    </a:stretch>
                  </pic:blipFill>
                  <pic:spPr bwMode="auto">
                    <a:xfrm>
                      <a:off x="0" y="0"/>
                      <a:ext cx="5334000" cy="3985516"/>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bookmarkEnd w:id="51"/>
    <w:bookmarkStart w:id="52" w:name="stepwise-cox-regression-volume-dominates"/>
    <w:p>
      <w:pPr>
        <w:pStyle w:val="Heading2"/>
      </w:pPr>
      <w:r>
        <w:t xml:space="preserve">3.4 Stepwise Cox regression: volume dominates</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 the largest gain at any step in the sequence. In this model, vol_milepael had a hazard ratio of 0.352 per SD (95% CI: 0.327–0.380, p &lt; .001), corresponding to an approximately three-fold reduction in dropout hazard for a one-SD increase in milestone-year competition volume. Notably, the previously significant Tyrving coefficient became non-significant once volume was entered (HR = 1.04, p = 0.17), suggesting that baseline performance functions primarily as a proxy for the kind of athlete who will compete frequently rather than as an independent predictor of retention.</w:t>
      </w:r>
    </w:p>
    <w:p>
      <w:pPr>
        <w:pStyle w:val="BodyText"/>
      </w:pPr>
      <w:r>
        <w:t xml:space="preserve">Adding count of championship types in M5 did not improve C-index further (0.842), but the championship variable itself was strongly associated with retention (HR = 0.74 per type, p &lt; .001), and in this fuller model the sex coefficient achieved nominal significance (HR for female = 1.12, p = 0.025): for a given combination of performance, specialization, volume and championship breadth, female athletes had slightly higher dropout hazard than male athletes — a sex-effect that was hidden in the unadjusted analysis.</w:t>
      </w:r>
    </w:p>
    <w:p>
      <w:pPr>
        <w:pStyle w:val="BodyText"/>
      </w:pPr>
      <w:r>
        <w:t xml:space="preserve">The minimum detectable hazard ratio under Hsieh and Lavori’s (2000) formula with 1,570 events and 80% power was HR = 1.07 (or 0.93 for protective effects); all reported null findings were therefore well-powered to detect the smallest plausibly meaningful effect.</w:t>
      </w:r>
    </w:p>
    <w:bookmarkEnd w:id="52"/>
    <w:bookmarkStart w:id="53" w:name="X7d34bfa70e5826ca52b0a5ac69fbe0293f63528"/>
    <w:p>
      <w:pPr>
        <w:pStyle w:val="Heading2"/>
      </w:pPr>
      <w:r>
        <w:t xml:space="preserve">Table 3. Stepwise Cox proportional hazards models for time to dropout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c>
          <w:tcPr/>
          <w:p>
            <w:pPr>
              <w:pStyle w:val="Compact"/>
            </w:pPr>
            <w:r>
              <w:t xml:space="preserve">n</w:t>
            </w:r>
          </w:p>
        </w:tc>
      </w:tr>
      <w:tr>
        <w:tc>
          <w:tcPr/>
          <w:p>
            <w:pPr>
              <w:pStyle w:val="Compact"/>
            </w:pPr>
            <w:r>
              <w:t xml:space="preserve">M1: Sex only</w:t>
            </w:r>
          </w:p>
        </w:tc>
        <w:tc>
          <w:tcPr/>
          <w:p>
            <w:pPr>
              <w:pStyle w:val="Compact"/>
            </w:pPr>
            <w:r>
              <w:t xml:space="preserve">Female</w:t>
            </w:r>
          </w:p>
        </w:tc>
        <w:tc>
          <w:tcPr/>
          <w:p>
            <w:pPr>
              <w:pStyle w:val="Compact"/>
            </w:pPr>
            <w:r>
              <w:t xml:space="preserve">1.04</w:t>
            </w:r>
          </w:p>
        </w:tc>
        <w:tc>
          <w:tcPr/>
          <w:p>
            <w:pPr>
              <w:pStyle w:val="Compact"/>
            </w:pPr>
            <w:r>
              <w:t xml:space="preserve">[0.95, 1.14]</w:t>
            </w:r>
          </w:p>
        </w:tc>
        <w:tc>
          <w:tcPr/>
          <w:p>
            <w:pPr>
              <w:pStyle w:val="Compact"/>
            </w:pPr>
            <w:r>
              <w:t xml:space="preserve">.352</w:t>
            </w:r>
          </w:p>
        </w:tc>
        <w:tc>
          <w:tcPr/>
          <w:p>
            <w:pPr>
              <w:pStyle w:val="Compact"/>
            </w:pPr>
            <w:r>
              <w:t xml:space="preserve">0.498</w:t>
            </w:r>
          </w:p>
        </w:tc>
        <w:tc>
          <w:tcPr/>
          <w:p>
            <w:pPr>
              <w:pStyle w:val="Compact"/>
            </w:pPr>
            <w:r>
              <w:t xml:space="preserve">2,123</w:t>
            </w:r>
          </w:p>
        </w:tc>
      </w:tr>
      <w:tr>
        <w:tc>
          <w:tcPr/>
          <w:p>
            <w:pPr>
              <w:pStyle w:val="Compact"/>
            </w:pPr>
            <w:r>
              <w:t xml:space="preserve">M2: + Performance</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.052</w:t>
            </w:r>
          </w:p>
        </w:tc>
        <w:tc>
          <w:tcPr/>
          <w:p>
            <w:pPr>
              <w:pStyle w:val="Compact"/>
            </w:pPr>
            <w:r>
              <w:t xml:space="preserve">0.574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r>
              <w:t xml:space="preserve">M3: + Specialization</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.059</w:t>
            </w:r>
          </w:p>
        </w:tc>
        <w:tc>
          <w:tcPr/>
          <w:p>
            <w:pPr>
              <w:pStyle w:val="Compact"/>
            </w:pPr>
            <w:r>
              <w:t xml:space="preserve">0.573</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0.98</w:t>
            </w:r>
          </w:p>
        </w:tc>
        <w:tc>
          <w:tcPr/>
          <w:p>
            <w:pPr>
              <w:pStyle w:val="Compact"/>
            </w:pPr>
            <w:r>
              <w:t xml:space="preserve">[0.93, 1.03]</w:t>
            </w:r>
          </w:p>
        </w:tc>
        <w:tc>
          <w:tcPr/>
          <w:p>
            <w:pPr>
              <w:pStyle w:val="Compact"/>
            </w:pPr>
            <w:r>
              <w:t xml:space="preserve">.455</w:t>
            </w:r>
          </w:p>
        </w:tc>
        <w:tc>
          <w:tcPr/>
          <w:p>
            <w:pPr>
              <w:pStyle w:val="Compact"/>
            </w:pPr>
          </w:p>
        </w:tc>
        <w:tc>
          <w:tcPr/>
          <w:p>
            <w:pPr>
              <w:pStyle w:val="Compact"/>
            </w:pPr>
          </w:p>
        </w:tc>
      </w:tr>
      <w:tr>
        <w:tc>
          <w:tcPr/>
          <w:p>
            <w:pPr>
              <w:pStyle w:val="Compact"/>
            </w:pPr>
            <w:r>
              <w:t xml:space="preserve">M4: + Volume at milestone</w:t>
            </w:r>
          </w:p>
        </w:tc>
        <w:tc>
          <w:tcPr/>
          <w:p>
            <w:pPr>
              <w:pStyle w:val="Compact"/>
            </w:pPr>
            <w:r>
              <w:t xml:space="preserve">Female</w:t>
            </w:r>
          </w:p>
        </w:tc>
        <w:tc>
          <w:tcPr/>
          <w:p>
            <w:pPr>
              <w:pStyle w:val="Compact"/>
            </w:pPr>
            <w:r>
              <w:t xml:space="preserve">1.09</w:t>
            </w:r>
          </w:p>
        </w:tc>
        <w:tc>
          <w:tcPr/>
          <w:p>
            <w:pPr>
              <w:pStyle w:val="Compact"/>
            </w:pPr>
            <w:r>
              <w:t xml:space="preserve">[0.98, 1.20]</w:t>
            </w:r>
          </w:p>
        </w:tc>
        <w:tc>
          <w:tcPr/>
          <w:p>
            <w:pPr>
              <w:pStyle w:val="Compact"/>
            </w:pPr>
            <w:r>
              <w:t xml:space="preserve">.109</w:t>
            </w:r>
          </w:p>
        </w:tc>
        <w:tc>
          <w:tcPr/>
          <w:p>
            <w:pPr>
              <w:pStyle w:val="Compact"/>
            </w:pPr>
            <w:r>
              <w:rPr>
                <w:b/>
                <w:bCs/>
              </w:rPr>
              <w:t xml:space="preserve">0.846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[0.99, 1.09]</w:t>
            </w:r>
          </w:p>
        </w:tc>
        <w:tc>
          <w:tcPr/>
          <w:p>
            <w:pPr>
              <w:pStyle w:val="Compact"/>
            </w:pPr>
            <w:r>
              <w:t xml:space="preserve">.169</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1.00]</w:t>
            </w:r>
          </w:p>
        </w:tc>
        <w:tc>
          <w:tcPr/>
          <w:p>
            <w:pPr>
              <w:pStyle w:val="Compact"/>
            </w:pPr>
            <w:r>
              <w:t xml:space="preserve">.061</w:t>
            </w:r>
          </w:p>
        </w:tc>
        <w:tc>
          <w:tcPr/>
          <w:p>
            <w:pPr>
              <w:pStyle w:val="Compact"/>
            </w:pPr>
          </w:p>
        </w:tc>
        <w:tc>
          <w:tcPr/>
          <w:p>
            <w:pPr>
              <w:pStyle w:val="Compact"/>
            </w:pPr>
          </w:p>
        </w:tc>
      </w:tr>
      <w:tr>
        <w:tc>
          <w:tcPr/>
          <w:p>
            <w:pPr>
              <w:pStyle w:val="Compact"/>
            </w:pPr>
          </w:p>
        </w:tc>
        <w:tc>
          <w:tcPr/>
          <w:p>
            <w:pPr>
              <w:pStyle w:val="Compact"/>
            </w:pPr>
            <w:r>
              <w:rPr>
                <w:b/>
                <w:bCs/>
              </w:rPr>
              <w:t xml:space="preserve">Volume at age 15–16 (z)</w:t>
            </w:r>
          </w:p>
        </w:tc>
        <w:tc>
          <w:tcPr/>
          <w:p>
            <w:pPr>
              <w:pStyle w:val="Compact"/>
            </w:pPr>
            <w:r>
              <w:rPr>
                <w:b/>
                <w:bCs/>
              </w:rPr>
              <w:t xml:space="preserve">0.35</w:t>
            </w:r>
          </w:p>
        </w:tc>
        <w:tc>
          <w:tcPr/>
          <w:p>
            <w:pPr>
              <w:pStyle w:val="Compact"/>
            </w:pPr>
            <w:r>
              <w:rPr>
                <w:b/>
                <w:bCs/>
              </w:rPr>
              <w:t xml:space="preserve">[0.33, 0.38]</w:t>
            </w:r>
          </w:p>
        </w:tc>
        <w:tc>
          <w:tcPr/>
          <w:p>
            <w:pPr>
              <w:pStyle w:val="Compact"/>
            </w:pPr>
            <w:r>
              <w:rPr>
                <w:b/>
                <w:bCs/>
              </w:rPr>
              <w:t xml:space="preserve">&lt; .001</w:t>
            </w:r>
          </w:p>
        </w:tc>
        <w:tc>
          <w:tcPr/>
          <w:p>
            <w:pPr>
              <w:pStyle w:val="Compact"/>
            </w:pPr>
          </w:p>
        </w:tc>
        <w:tc>
          <w:tcPr/>
          <w:p>
            <w:pPr>
              <w:pStyle w:val="Compact"/>
            </w:pPr>
          </w:p>
        </w:tc>
      </w:tr>
      <w:tr>
        <w:tc>
          <w:tcPr/>
          <w:p>
            <w:pPr>
              <w:pStyle w:val="Compact"/>
            </w:pPr>
            <w:r>
              <w:t xml:space="preserve">M5: + Championship types</w:t>
            </w:r>
          </w:p>
        </w:tc>
        <w:tc>
          <w:tcPr/>
          <w:p>
            <w:pPr>
              <w:pStyle w:val="Compact"/>
            </w:pPr>
            <w:r>
              <w:t xml:space="preserve">Female</w:t>
            </w:r>
          </w:p>
        </w:tc>
        <w:tc>
          <w:tcPr/>
          <w:p>
            <w:pPr>
              <w:pStyle w:val="Compact"/>
            </w:pPr>
            <w:r>
              <w:t xml:space="preserve">1.12</w:t>
            </w:r>
          </w:p>
        </w:tc>
        <w:tc>
          <w:tcPr/>
          <w:p>
            <w:pPr>
              <w:pStyle w:val="Compact"/>
            </w:pPr>
            <w:r>
              <w:t xml:space="preserve">[1.02, 1.24]</w:t>
            </w:r>
          </w:p>
        </w:tc>
        <w:tc>
          <w:tcPr/>
          <w:p>
            <w:pPr>
              <w:pStyle w:val="Compact"/>
            </w:pPr>
            <w:r>
              <w:t xml:space="preserve">.025</w:t>
            </w:r>
          </w:p>
        </w:tc>
        <w:tc>
          <w:tcPr/>
          <w:p>
            <w:pPr>
              <w:pStyle w:val="Compact"/>
            </w:pPr>
            <w:r>
              <w:t xml:space="preserve">0.842</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1.05</w:t>
            </w:r>
          </w:p>
        </w:tc>
        <w:tc>
          <w:tcPr/>
          <w:p>
            <w:pPr>
              <w:pStyle w:val="Compact"/>
            </w:pPr>
            <w:r>
              <w:t xml:space="preserve">[1.00, 1.10]</w:t>
            </w:r>
          </w:p>
        </w:tc>
        <w:tc>
          <w:tcPr/>
          <w:p>
            <w:pPr>
              <w:pStyle w:val="Compact"/>
            </w:pPr>
            <w:r>
              <w:t xml:space="preserve">.060</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1.01]</w:t>
            </w:r>
          </w:p>
        </w:tc>
        <w:tc>
          <w:tcPr/>
          <w:p>
            <w:pPr>
              <w:pStyle w:val="Compact"/>
            </w:pPr>
            <w:r>
              <w:t xml:space="preserve">.080</w:t>
            </w:r>
          </w:p>
        </w:tc>
        <w:tc>
          <w:tcPr/>
          <w:p>
            <w:pPr>
              <w:pStyle w:val="Compact"/>
            </w:pPr>
          </w:p>
        </w:tc>
        <w:tc>
          <w:tcPr/>
          <w:p>
            <w:pPr>
              <w:pStyle w:val="Compact"/>
            </w:pPr>
          </w:p>
        </w:tc>
      </w:tr>
      <w:tr>
        <w:tc>
          <w:tcPr/>
          <w:p>
            <w:pPr>
              <w:pStyle w:val="Compact"/>
            </w:pPr>
          </w:p>
        </w:tc>
        <w:tc>
          <w:tcPr/>
          <w:p>
            <w:pPr>
              <w:pStyle w:val="Compact"/>
            </w:pPr>
            <w:r>
              <w:t xml:space="preserve">Volume at age 15–16 (z)</w:t>
            </w:r>
          </w:p>
        </w:tc>
        <w:tc>
          <w:tcPr/>
          <w:p>
            <w:pPr>
              <w:pStyle w:val="Compact"/>
            </w:pPr>
            <w:r>
              <w:t xml:space="preserve">0.44</w:t>
            </w:r>
          </w:p>
        </w:tc>
        <w:tc>
          <w:tcPr/>
          <w:p>
            <w:pPr>
              <w:pStyle w:val="Compact"/>
            </w:pPr>
            <w:r>
              <w:t xml:space="preserve">[0.40, 0.48]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Championship types (count, 0–4)</w:t>
            </w:r>
          </w:p>
        </w:tc>
        <w:tc>
          <w:tcPr/>
          <w:p>
            <w:pPr>
              <w:pStyle w:val="Compact"/>
            </w:pPr>
            <w:r>
              <w:t xml:space="preserve">0.74</w:t>
            </w:r>
          </w:p>
        </w:tc>
        <w:tc>
          <w:tcPr/>
          <w:p>
            <w:pPr>
              <w:pStyle w:val="Compact"/>
            </w:pPr>
            <w:r>
              <w:t xml:space="preserve">[0.69, 0.80]</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HRs are per one-SD increase for standardized covariates and per unit for the count of championship types. The volume-at-milestone covariate produces the largest single-step C-index gain (0.573 → 0.846). Schoenfeld residual tests detected proportional-hazards violations for vol_milepael, HHI early, and championship types; period-specific HRs are given in Table 4.</w:t>
      </w:r>
    </w:p>
    <w:p>
      <w:r>
        <w:pict>
          <v:rect style="width:0;height:1.5pt" o:hralign="center" o:hrstd="t" o:hr="t"/>
        </w:pict>
      </w:r>
    </w:p>
    <w:bookmarkEnd w:id="53"/>
    <w:bookmarkStart w:id="54" w:name="X748c1e1233363ac79ebb77edb21282c3d5ead36"/>
    <w:p>
      <w:pPr>
        <w:pStyle w:val="Heading2"/>
      </w:pPr>
      <w:r>
        <w:t xml:space="preserve">3.5 Proportional-hazards assumption and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competition-volume (χ²₁ = 220.77, p &lt; .001) covariates (Supplementary Table S1). To verify that the violations did not change substantive conclusions, we re-fit M5 stratified on the most-violating discrete covariate (HHI tercile); all remaining effects retained their direction, magnitude, and significance level (Supplementary Table S6).</w:t>
      </w:r>
    </w:p>
    <w:p>
      <w:pPr>
        <w:pStyle w:val="BodyText"/>
      </w:pPr>
      <w:r>
        <w:t xml:space="preserve">To characterize the time-varying nature of the dominant predictor, we fit period-specific Cox models in three follow-up windows (Table 4). The protective effect of milestone-year competition volume was strongest in the first three years post-baseline (HR = 0.14, 95% CI: 0.11–0.16), moderate in years 3–6 (HR = 0.69, 95% CI: 0.60–0.79), and absent in years 6+ (HR = 0.96, 95% CI: 0.77–1.19). This pattern is consistent with the substantive interpretation that competition volume at the qualification milestone is most predictive of</w:t>
      </w:r>
      <w:r>
        <w:t xml:space="preserve"> </w:t>
      </w:r>
      <w:r>
        <w:rPr>
          <w:i/>
          <w:iCs/>
        </w:rPr>
        <w:t xml:space="preserve">immediate</w:t>
      </w:r>
      <w:r>
        <w:t xml:space="preserve"> </w:t>
      </w:r>
      <w:r>
        <w:t xml:space="preserve">(within 3 years) retention and matters less for</w:t>
      </w:r>
      <w:r>
        <w:t xml:space="preserve"> </w:t>
      </w:r>
      <w:r>
        <w:rPr>
          <w:i/>
          <w:iCs/>
        </w:rPr>
        <w:t xml:space="preserve">late dropouts</w:t>
      </w:r>
      <w:r>
        <w:t xml:space="preserve"> </w:t>
      </w:r>
      <w:r>
        <w:t xml:space="preserve">(athletes who continue past the junior transition and disengage in their early twenties). Effect sizes for the other covariates were stable across windows (Table 4).</w:t>
      </w:r>
    </w:p>
    <w:bookmarkEnd w:id="54"/>
    <w:bookmarkStart w:id="55" w:name="Xbfe3faf40cf76853f84917063d5bd4f677a1b97"/>
    <w:p>
      <w:pPr>
        <w:pStyle w:val="Heading2"/>
      </w:pPr>
      <w:r>
        <w:t xml:space="preserve">Table 4. Time-varying hazard ratios across follow-up periods (full Cox model,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(age 13–17)</w:t>
            </w:r>
          </w:p>
        </w:tc>
        <w:tc>
          <w:tcPr/>
          <w:p>
            <w:pPr>
              <w:pStyle w:val="Compact"/>
            </w:pPr>
            <w:r>
              <w:t xml:space="preserve">Years 3–6 (age 16–19)</w:t>
            </w:r>
          </w:p>
        </w:tc>
        <w:tc>
          <w:tcPr/>
          <w:p>
            <w:pPr>
              <w:pStyle w:val="Compact"/>
            </w:pPr>
            <w:r>
              <w:t xml:space="preserve">Years 6+ (age 19+)</w:t>
            </w:r>
          </w:p>
        </w:tc>
      </w:tr>
      <w:tr>
        <w:tc>
          <w:tcPr/>
          <w:p>
            <w:pPr>
              <w:pStyle w:val="Compact"/>
            </w:pPr>
            <w:r>
              <w:rPr>
                <w:b/>
                <w:bCs/>
              </w:rPr>
              <w:t xml:space="preserve">Volume at age 15–16 (per SD)</w:t>
            </w:r>
          </w:p>
        </w:tc>
        <w:tc>
          <w:tcPr/>
          <w:p>
            <w:pPr>
              <w:pStyle w:val="Compact"/>
            </w:pPr>
            <w:r>
              <w:rPr>
                <w:b/>
                <w:bCs/>
              </w:rPr>
              <w:t xml:space="preserve">0.14 [0.11, 0.16]</w:t>
            </w:r>
          </w:p>
        </w:tc>
        <w:tc>
          <w:tcPr/>
          <w:p>
            <w:pPr>
              <w:pStyle w:val="Compact"/>
            </w:pPr>
            <w:r>
              <w:rPr>
                <w:b/>
                <w:bCs/>
              </w:rPr>
              <w:t xml:space="preserve">0.69 [0.60, 0.79]</w:t>
            </w:r>
          </w:p>
        </w:tc>
        <w:tc>
          <w:tcPr/>
          <w:p>
            <w:pPr>
              <w:pStyle w:val="Compact"/>
            </w:pPr>
            <w:r>
              <w:t xml:space="preserve">0.96 [0.77, 1.19]</w:t>
            </w:r>
          </w:p>
        </w:tc>
      </w:tr>
      <w:tr>
        <w:tc>
          <w:tcPr/>
          <w:p>
            <w:pPr>
              <w:pStyle w:val="Compact"/>
            </w:pPr>
            <w:r>
              <w:t xml:space="preserve">Championship types (count)</w:t>
            </w:r>
          </w:p>
        </w:tc>
        <w:tc>
          <w:tcPr/>
          <w:p>
            <w:pPr>
              <w:pStyle w:val="Compact"/>
            </w:pPr>
            <w:r>
              <w:t xml:space="preserve">0.61 [0.55, 0.69]</w:t>
            </w:r>
          </w:p>
        </w:tc>
        <w:tc>
          <w:tcPr/>
          <w:p>
            <w:pPr>
              <w:pStyle w:val="Compact"/>
            </w:pPr>
            <w:r>
              <w:t xml:space="preserve">0.88 [0.79, 0.99]</w:t>
            </w:r>
          </w:p>
        </w:tc>
        <w:tc>
          <w:tcPr/>
          <w:p>
            <w:pPr>
              <w:pStyle w:val="Compact"/>
            </w:pPr>
            <w:r>
              <w:t xml:space="preserve">0.97 [0.78, 1.21]</w:t>
            </w:r>
          </w:p>
        </w:tc>
      </w:tr>
      <w:tr>
        <w:tc>
          <w:tcPr/>
          <w:p>
            <w:pPr>
              <w:pStyle w:val="Compact"/>
            </w:pPr>
            <w:r>
              <w:t xml:space="preserve">Tyrving (z)</w:t>
            </w:r>
          </w:p>
        </w:tc>
        <w:tc>
          <w:tcPr/>
          <w:p>
            <w:pPr>
              <w:pStyle w:val="Compact"/>
            </w:pPr>
            <w:r>
              <w:t xml:space="preserve">1.07 [0.99, 1.15]</w:t>
            </w:r>
          </w:p>
        </w:tc>
        <w:tc>
          <w:tcPr/>
          <w:p>
            <w:pPr>
              <w:pStyle w:val="Compact"/>
            </w:pPr>
            <w:r>
              <w:t xml:space="preserve">0.92 [0.84, 1.01]</w:t>
            </w:r>
          </w:p>
        </w:tc>
        <w:tc>
          <w:tcPr/>
          <w:p>
            <w:pPr>
              <w:pStyle w:val="Compact"/>
            </w:pPr>
            <w:r>
              <w:t xml:space="preserve">0.94 [0.78, 1.13]</w:t>
            </w:r>
          </w:p>
        </w:tc>
      </w:tr>
      <w:tr>
        <w:tc>
          <w:tcPr/>
          <w:p>
            <w:pPr>
              <w:pStyle w:val="Compact"/>
            </w:pPr>
            <w:r>
              <w:t xml:space="preserve">HHI early (z)</w:t>
            </w:r>
          </w:p>
        </w:tc>
        <w:tc>
          <w:tcPr/>
          <w:p>
            <w:pPr>
              <w:pStyle w:val="Compact"/>
            </w:pPr>
            <w:r>
              <w:t xml:space="preserve">0.97 [0.91, 1.05]</w:t>
            </w:r>
          </w:p>
        </w:tc>
        <w:tc>
          <w:tcPr/>
          <w:p>
            <w:pPr>
              <w:pStyle w:val="Compact"/>
            </w:pPr>
            <w:r>
              <w:t xml:space="preserve">0.93 [0.85, 1.02]</w:t>
            </w:r>
          </w:p>
        </w:tc>
        <w:tc>
          <w:tcPr/>
          <w:p>
            <w:pPr>
              <w:pStyle w:val="Compact"/>
            </w:pPr>
            <w:r>
              <w:t xml:space="preserve">1.02 [0.85, 1.21]</w:t>
            </w:r>
          </w:p>
        </w:tc>
      </w:tr>
      <w:tr>
        <w:tc>
          <w:tcPr/>
          <w:p>
            <w:pPr>
              <w:pStyle w:val="Compact"/>
            </w:pPr>
            <w:r>
              <w:t xml:space="preserve">Female</w:t>
            </w:r>
          </w:p>
        </w:tc>
        <w:tc>
          <w:tcPr/>
          <w:p>
            <w:pPr>
              <w:pStyle w:val="Compact"/>
            </w:pPr>
            <w:r>
              <w:t xml:space="preserve">1.16 [1.02, 1.31]</w:t>
            </w:r>
          </w:p>
        </w:tc>
        <w:tc>
          <w:tcPr/>
          <w:p>
            <w:pPr>
              <w:pStyle w:val="Compact"/>
            </w:pPr>
            <w:r>
              <w:t xml:space="preserve">1.06 [0.91, 1.23]</w:t>
            </w:r>
          </w:p>
        </w:tc>
        <w:tc>
          <w:tcPr/>
          <w:p>
            <w:pPr>
              <w:pStyle w:val="Compact"/>
            </w:pPr>
            <w:r>
              <w:t xml:space="preserve">1.09 [0.85, 1.39]</w:t>
            </w:r>
          </w:p>
        </w:tc>
      </w:tr>
      <w:tr>
        <w:tc>
          <w:tcPr/>
          <w:p>
            <w:pPr>
              <w:pStyle w:val="Compact"/>
            </w:pPr>
            <w:r>
              <w:t xml:space="preserve">n at risk in interval</w:t>
            </w:r>
          </w:p>
        </w:tc>
        <w:tc>
          <w:tcPr/>
          <w:p>
            <w:pPr>
              <w:pStyle w:val="Compact"/>
            </w:pPr>
            <w:r>
              <w:t xml:space="preserve">1,704</w:t>
            </w:r>
          </w:p>
        </w:tc>
        <w:tc>
          <w:tcPr/>
          <w:p>
            <w:pPr>
              <w:pStyle w:val="Compact"/>
            </w:pPr>
            <w:r>
              <w:t xml:space="preserve">669</w:t>
            </w:r>
          </w:p>
        </w:tc>
        <w:tc>
          <w:tcPr/>
          <w:p>
            <w:pPr>
              <w:pStyle w:val="Compact"/>
            </w:pPr>
            <w:r>
              <w:t xml:space="preserve">270</w:t>
            </w:r>
          </w:p>
        </w:tc>
      </w:tr>
      <w:tr>
        <w:tc>
          <w:tcPr/>
          <w:p>
            <w:pPr>
              <w:pStyle w:val="Compact"/>
            </w:pPr>
            <w:r>
              <w:t xml:space="preserve">events in interval</w:t>
            </w:r>
          </w:p>
        </w:tc>
        <w:tc>
          <w:tcPr/>
          <w:p>
            <w:pPr>
              <w:pStyle w:val="Compact"/>
            </w:pPr>
            <w:r>
              <w:t xml:space="preserve">1,035</w:t>
            </w:r>
          </w:p>
        </w:tc>
        <w:tc>
          <w:tcPr/>
          <w:p>
            <w:pPr>
              <w:pStyle w:val="Compact"/>
            </w:pPr>
            <w:r>
              <w:t xml:space="preserve">399</w:t>
            </w:r>
          </w:p>
        </w:tc>
        <w:tc>
          <w:tcPr/>
          <w:p>
            <w:pPr>
              <w:pStyle w:val="Compact"/>
            </w:pPr>
            <w:r>
              <w:t xml:space="preserve">136</w:t>
            </w:r>
          </w:p>
        </w:tc>
      </w:tr>
      <w:tr>
        <w:tc>
          <w:tcPr/>
          <w:p>
            <w:pPr>
              <w:pStyle w:val="Compact"/>
            </w:pPr>
            <w:r>
              <w:t xml:space="preserve">C-index</w:t>
            </w:r>
          </w:p>
        </w:tc>
        <w:tc>
          <w:tcPr/>
          <w:p>
            <w:pPr>
              <w:pStyle w:val="Compact"/>
            </w:pPr>
            <w:r>
              <w:t xml:space="preserve">0.894</w:t>
            </w:r>
          </w:p>
        </w:tc>
        <w:tc>
          <w:tcPr/>
          <w:p>
            <w:pPr>
              <w:pStyle w:val="Compact"/>
            </w:pPr>
            <w:r>
              <w:t xml:space="preserve">0.661</w:t>
            </w:r>
          </w:p>
        </w:tc>
        <w:tc>
          <w:tcPr/>
          <w:p>
            <w:pPr>
              <w:pStyle w:val="Compact"/>
            </w:pPr>
            <w:r>
              <w:t xml:space="preserve">0.582</w:t>
            </w:r>
          </w:p>
        </w:tc>
      </w:tr>
    </w:tbl>
    <w:p>
      <w:pPr>
        <w:pStyle w:val="BodyText"/>
      </w:pPr>
      <w:r>
        <w:rPr>
          <w:i/>
          <w:iCs/>
        </w:rPr>
        <w:t xml:space="preserve">Note.</w:t>
      </w:r>
      <w:r>
        <w:t xml:space="preserve"> </w:t>
      </w:r>
      <w:r>
        <w:t xml:space="preserve">The dominant predictor — competition volume at age 15–16 — is highly protective in the first three years after baseline (when most dropout occurs), moderately protective in years 3–6 (the transition to junior age), and indistinguishable from null in years 6+ (athletes who have survived the junior transition). This pattern is consistent with the substantive interpretation that the behavioral signal predicts proximal disengagement.</w:t>
      </w:r>
    </w:p>
    <w:p>
      <w:r>
        <w:pict>
          <v:rect style="width:0;height:1.5pt" o:hralign="center" o:hrstd="t" o:hr="t"/>
        </w:pict>
      </w:r>
    </w:p>
    <w:bookmarkEnd w:id="55"/>
    <w:bookmarkStart w:id="59" w:name="Xed0d321f124eb97f2d9a6f707e3c7fd47d38636"/>
    <w:p>
      <w:pPr>
        <w:pStyle w:val="Heading2"/>
      </w:pPr>
      <w:r>
        <w:t xml:space="preserve">3.6 Random forest: volume features dominate variable importance</w:t>
      </w:r>
    </w:p>
    <w:p>
      <w:pPr>
        <w:pStyle w:val="FirstParagraph"/>
      </w:pPr>
      <w:r>
        <w:t xml:space="preserve">Random-forest variable importances (Figure 5; Table 5) confirm the Cox findings using a non-parametric, interaction-tolerant procedure. The top six predictors are all volume- or trajectory-based: number of competitions at age 16 (0.133), composite volume at milestone (0.126), competitions at age 15 (0.083), Tyrving performance slope from age 13 to 16 (0.075), volume trend across the milestone (0.071), and peak Tyrving before age 15 (0.048). Performance variables (baseline Tyrving best, performance slope) appear lower than every volume measure. Sex enters the model near the bottom of the importance ranking (0.010), consistent with the Cox results.</w:t>
      </w:r>
    </w:p>
    <w:p>
      <w:pPr>
        <w:pStyle w:val="CaptionedFigure"/>
      </w:pPr>
      <w:r>
        <w:drawing>
          <wp:inline>
            <wp:extent cx="5334000" cy="4441004"/>
            <wp:effectExtent b="0" l="0" r="0" t="0"/>
            <wp:docPr descr="Figure 5" title="" id="57" name="Picture"/>
            <a:graphic>
              <a:graphicData uri="http://schemas.openxmlformats.org/drawingml/2006/picture">
                <pic:pic>
                  <pic:nvPicPr>
                    <pic:cNvPr descr="figures/fig5_rf_importance.png" id="58" name="Picture"/>
                    <pic:cNvPicPr>
                      <a:picLocks noChangeArrowheads="1" noChangeAspect="1"/>
                    </pic:cNvPicPr>
                  </pic:nvPicPr>
                  <pic:blipFill>
                    <a:blip r:embed="rId56"/>
                    <a:stretch>
                      <a:fillRect/>
                    </a:stretch>
                  </pic:blipFill>
                  <pic:spPr bwMode="auto">
                    <a:xfrm>
                      <a:off x="0" y="0"/>
                      <a:ext cx="5334000" cy="444100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Random forest variable importances (top 15) for predicting active senior status. Bars show the mean decrease in impurity across 500 trees; importances sum to 1 across all 22 features. The top six predictors are all volume- or trajectory-related; performance and specialization variables appear in middle positions; sex enters near the bottom of the ranking.</w:t>
      </w:r>
    </w:p>
    <w:bookmarkEnd w:id="59"/>
    <w:bookmarkStart w:id="60" w:name="X7179511b496541910b17174e835dfc576fb99f6"/>
    <w:p>
      <w:pPr>
        <w:pStyle w:val="Heading2"/>
      </w:pPr>
      <w:r>
        <w:t xml:space="preserve">Table 5. Random forest variable importance (top 15) for senior retention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Rank</w:t>
            </w:r>
          </w:p>
        </w:tc>
        <w:tc>
          <w:tcPr/>
          <w:p>
            <w:pPr>
              <w:pStyle w:val="Compact"/>
            </w:pPr>
            <w:r>
              <w:t xml:space="preserve">Feature</w:t>
            </w:r>
          </w:p>
        </w:tc>
        <w:tc>
          <w:tcPr/>
          <w:p>
            <w:pPr>
              <w:pStyle w:val="Compact"/>
            </w:pPr>
            <w:r>
              <w:t xml:space="preserve">Importance</w:t>
            </w:r>
          </w:p>
        </w:tc>
      </w:tr>
      <w:tr>
        <w:tc>
          <w:tcPr/>
          <w:p>
            <w:pPr>
              <w:pStyle w:val="Compact"/>
            </w:pPr>
            <w:r>
              <w:t xml:space="preserve">1</w:t>
            </w:r>
          </w:p>
        </w:tc>
        <w:tc>
          <w:tcPr/>
          <w:p>
            <w:pPr>
              <w:pStyle w:val="Compact"/>
            </w:pPr>
            <w:r>
              <w:t xml:space="preserve">Volume at age 16</w:t>
            </w:r>
          </w:p>
        </w:tc>
        <w:tc>
          <w:tcPr/>
          <w:p>
            <w:pPr>
              <w:pStyle w:val="Compact"/>
            </w:pPr>
            <w:r>
              <w:t xml:space="preserve">0.133</w:t>
            </w:r>
          </w:p>
        </w:tc>
      </w:tr>
      <w:tr>
        <w:tc>
          <w:tcPr/>
          <w:p>
            <w:pPr>
              <w:pStyle w:val="Compact"/>
            </w:pPr>
            <w:r>
              <w:t xml:space="preserve">2</w:t>
            </w:r>
          </w:p>
        </w:tc>
        <w:tc>
          <w:tcPr/>
          <w:p>
            <w:pPr>
              <w:pStyle w:val="Compact"/>
            </w:pPr>
            <w:r>
              <w:t xml:space="preserve">Composite volume at milestone (ages 15–16)</w:t>
            </w:r>
          </w:p>
        </w:tc>
        <w:tc>
          <w:tcPr/>
          <w:p>
            <w:pPr>
              <w:pStyle w:val="Compact"/>
            </w:pPr>
            <w:r>
              <w:t xml:space="preserve">0.126</w:t>
            </w:r>
          </w:p>
        </w:tc>
      </w:tr>
      <w:tr>
        <w:tc>
          <w:tcPr/>
          <w:p>
            <w:pPr>
              <w:pStyle w:val="Compact"/>
            </w:pPr>
            <w:r>
              <w:t xml:space="preserve">3</w:t>
            </w:r>
          </w:p>
        </w:tc>
        <w:tc>
          <w:tcPr/>
          <w:p>
            <w:pPr>
              <w:pStyle w:val="Compact"/>
            </w:pPr>
            <w:r>
              <w:t xml:space="preserve">Volume at age 15</w:t>
            </w:r>
          </w:p>
        </w:tc>
        <w:tc>
          <w:tcPr/>
          <w:p>
            <w:pPr>
              <w:pStyle w:val="Compact"/>
            </w:pPr>
            <w:r>
              <w:t xml:space="preserve">0.083</w:t>
            </w:r>
          </w:p>
        </w:tc>
      </w:tr>
      <w:tr>
        <w:tc>
          <w:tcPr/>
          <w:p>
            <w:pPr>
              <w:pStyle w:val="Compact"/>
            </w:pPr>
            <w:r>
              <w:t xml:space="preserve">4</w:t>
            </w:r>
          </w:p>
        </w:tc>
        <w:tc>
          <w:tcPr/>
          <w:p>
            <w:pPr>
              <w:pStyle w:val="Compact"/>
            </w:pPr>
            <w:r>
              <w:t xml:space="preserve">Tyrving performance slope (ages 13–16)</w:t>
            </w:r>
          </w:p>
        </w:tc>
        <w:tc>
          <w:tcPr/>
          <w:p>
            <w:pPr>
              <w:pStyle w:val="Compact"/>
            </w:pPr>
            <w:r>
              <w:t xml:space="preserve">0.075</w:t>
            </w:r>
          </w:p>
        </w:tc>
      </w:tr>
      <w:tr>
        <w:tc>
          <w:tcPr/>
          <w:p>
            <w:pPr>
              <w:pStyle w:val="Compact"/>
            </w:pPr>
            <w:r>
              <w:t xml:space="preserve">5</w:t>
            </w:r>
          </w:p>
        </w:tc>
        <w:tc>
          <w:tcPr/>
          <w:p>
            <w:pPr>
              <w:pStyle w:val="Compact"/>
            </w:pPr>
            <w:r>
              <w:t xml:space="preserve">Volume trend across milestone</w:t>
            </w:r>
          </w:p>
        </w:tc>
        <w:tc>
          <w:tcPr/>
          <w:p>
            <w:pPr>
              <w:pStyle w:val="Compact"/>
            </w:pPr>
            <w:r>
              <w:t xml:space="preserve">0.071</w:t>
            </w:r>
          </w:p>
        </w:tc>
      </w:tr>
      <w:tr>
        <w:tc>
          <w:tcPr/>
          <w:p>
            <w:pPr>
              <w:pStyle w:val="Compact"/>
            </w:pPr>
            <w:r>
              <w:t xml:space="preserve">6</w:t>
            </w:r>
          </w:p>
        </w:tc>
        <w:tc>
          <w:tcPr/>
          <w:p>
            <w:pPr>
              <w:pStyle w:val="Compact"/>
            </w:pPr>
            <w:r>
              <w:t xml:space="preserve">Peak Tyrving before age 15</w:t>
            </w:r>
          </w:p>
        </w:tc>
        <w:tc>
          <w:tcPr/>
          <w:p>
            <w:pPr>
              <w:pStyle w:val="Compact"/>
            </w:pPr>
            <w:r>
              <w:t xml:space="preserve">0.048</w:t>
            </w:r>
          </w:p>
        </w:tc>
      </w:tr>
      <w:tr>
        <w:tc>
          <w:tcPr/>
          <w:p>
            <w:pPr>
              <w:pStyle w:val="Compact"/>
            </w:pPr>
            <w:r>
              <w:t xml:space="preserve">7</w:t>
            </w:r>
          </w:p>
        </w:tc>
        <w:tc>
          <w:tcPr/>
          <w:p>
            <w:pPr>
              <w:pStyle w:val="Compact"/>
            </w:pPr>
            <w:r>
              <w:t xml:space="preserve">HHI change (age 13–14 to 15–16)</w:t>
            </w:r>
          </w:p>
        </w:tc>
        <w:tc>
          <w:tcPr/>
          <w:p>
            <w:pPr>
              <w:pStyle w:val="Compact"/>
            </w:pPr>
            <w:r>
              <w:t xml:space="preserve">0.044</w:t>
            </w:r>
          </w:p>
        </w:tc>
      </w:tr>
      <w:tr>
        <w:tc>
          <w:tcPr/>
          <w:p>
            <w:pPr>
              <w:pStyle w:val="Compact"/>
            </w:pPr>
            <w:r>
              <w:t xml:space="preserve">8</w:t>
            </w:r>
          </w:p>
        </w:tc>
        <w:tc>
          <w:tcPr/>
          <w:p>
            <w:pPr>
              <w:pStyle w:val="Compact"/>
            </w:pPr>
            <w:r>
              <w:t xml:space="preserve">Mean meets per year early career</w:t>
            </w:r>
          </w:p>
        </w:tc>
        <w:tc>
          <w:tcPr/>
          <w:p>
            <w:pPr>
              <w:pStyle w:val="Compact"/>
            </w:pPr>
            <w:r>
              <w:t xml:space="preserve">0.042</w:t>
            </w:r>
          </w:p>
        </w:tc>
      </w:tr>
      <w:tr>
        <w:tc>
          <w:tcPr/>
          <w:p>
            <w:pPr>
              <w:pStyle w:val="Compact"/>
            </w:pPr>
            <w:r>
              <w:t xml:space="preserve">9</w:t>
            </w:r>
          </w:p>
        </w:tc>
        <w:tc>
          <w:tcPr/>
          <w:p>
            <w:pPr>
              <w:pStyle w:val="Compact"/>
            </w:pPr>
            <w:r>
              <w:t xml:space="preserve">Tyrving best at baseline</w:t>
            </w:r>
          </w:p>
        </w:tc>
        <w:tc>
          <w:tcPr/>
          <w:p>
            <w:pPr>
              <w:pStyle w:val="Compact"/>
            </w:pPr>
            <w:r>
              <w:t xml:space="preserve">0.040</w:t>
            </w:r>
          </w:p>
        </w:tc>
      </w:tr>
      <w:tr>
        <w:tc>
          <w:tcPr/>
          <w:p>
            <w:pPr>
              <w:pStyle w:val="Compact"/>
            </w:pPr>
            <w:r>
              <w:t xml:space="preserve">10</w:t>
            </w:r>
          </w:p>
        </w:tc>
        <w:tc>
          <w:tcPr/>
          <w:p>
            <w:pPr>
              <w:pStyle w:val="Compact"/>
            </w:pPr>
            <w:r>
              <w:t xml:space="preserve">HHI early</w:t>
            </w:r>
          </w:p>
        </w:tc>
        <w:tc>
          <w:tcPr/>
          <w:p>
            <w:pPr>
              <w:pStyle w:val="Compact"/>
            </w:pPr>
            <w:r>
              <w:t xml:space="preserve">0.040</w:t>
            </w:r>
          </w:p>
        </w:tc>
      </w:tr>
      <w:tr>
        <w:tc>
          <w:tcPr/>
          <w:p>
            <w:pPr>
              <w:pStyle w:val="Compact"/>
            </w:pPr>
            <w:r>
              <w:t xml:space="preserve">11</w:t>
            </w:r>
          </w:p>
        </w:tc>
        <w:tc>
          <w:tcPr/>
          <w:p>
            <w:pPr>
              <w:pStyle w:val="Compact"/>
            </w:pPr>
            <w:r>
              <w:t xml:space="preserve">Volume pre-milestone (ages 13–14)</w:t>
            </w:r>
          </w:p>
        </w:tc>
        <w:tc>
          <w:tcPr/>
          <w:p>
            <w:pPr>
              <w:pStyle w:val="Compact"/>
            </w:pPr>
            <w:r>
              <w:t xml:space="preserve">0.039</w:t>
            </w:r>
          </w:p>
        </w:tc>
      </w:tr>
      <w:tr>
        <w:tc>
          <w:tcPr/>
          <w:p>
            <w:pPr>
              <w:pStyle w:val="Compact"/>
            </w:pPr>
            <w:r>
              <w:t xml:space="preserve">12</w:t>
            </w:r>
          </w:p>
        </w:tc>
        <w:tc>
          <w:tcPr/>
          <w:p>
            <w:pPr>
              <w:pStyle w:val="Compact"/>
            </w:pPr>
            <w:r>
              <w:t xml:space="preserve">Year-round participation sum (ages 13–16)</w:t>
            </w:r>
          </w:p>
        </w:tc>
        <w:tc>
          <w:tcPr/>
          <w:p>
            <w:pPr>
              <w:pStyle w:val="Compact"/>
            </w:pPr>
            <w:r>
              <w:t xml:space="preserve">0.039</w:t>
            </w:r>
          </w:p>
        </w:tc>
      </w:tr>
      <w:tr>
        <w:tc>
          <w:tcPr/>
          <w:p>
            <w:pPr>
              <w:pStyle w:val="Compact"/>
            </w:pPr>
            <w:r>
              <w:t xml:space="preserve">13</w:t>
            </w:r>
          </w:p>
        </w:tc>
        <w:tc>
          <w:tcPr/>
          <w:p>
            <w:pPr>
              <w:pStyle w:val="Compact"/>
            </w:pPr>
            <w:r>
              <w:t xml:space="preserve">Volume at age 14</w:t>
            </w:r>
          </w:p>
        </w:tc>
        <w:tc>
          <w:tcPr/>
          <w:p>
            <w:pPr>
              <w:pStyle w:val="Compact"/>
            </w:pPr>
            <w:r>
              <w:t xml:space="preserve">0.036</w:t>
            </w:r>
          </w:p>
        </w:tc>
      </w:tr>
      <w:tr>
        <w:tc>
          <w:tcPr/>
          <w:p>
            <w:pPr>
              <w:pStyle w:val="Compact"/>
            </w:pPr>
            <w:r>
              <w:t xml:space="preserve">14</w:t>
            </w:r>
          </w:p>
        </w:tc>
        <w:tc>
          <w:tcPr/>
          <w:p>
            <w:pPr>
              <w:pStyle w:val="Compact"/>
            </w:pPr>
            <w:r>
              <w:t xml:space="preserve">Number of championship types</w:t>
            </w:r>
          </w:p>
        </w:tc>
        <w:tc>
          <w:tcPr/>
          <w:p>
            <w:pPr>
              <w:pStyle w:val="Compact"/>
            </w:pPr>
            <w:r>
              <w:t xml:space="preserve">0.031</w:t>
            </w:r>
          </w:p>
        </w:tc>
      </w:tr>
      <w:tr>
        <w:tc>
          <w:tcPr/>
          <w:p>
            <w:pPr>
              <w:pStyle w:val="Compact"/>
            </w:pPr>
            <w:r>
              <w:t xml:space="preserve">15</w:t>
            </w:r>
          </w:p>
        </w:tc>
        <w:tc>
          <w:tcPr/>
          <w:p>
            <w:pPr>
              <w:pStyle w:val="Compact"/>
            </w:pPr>
            <w:r>
              <w:t xml:space="preserve">HHI at age 15</w:t>
            </w:r>
          </w:p>
        </w:tc>
        <w:tc>
          <w:tcPr/>
          <w:p>
            <w:pPr>
              <w:pStyle w:val="Compact"/>
            </w:pPr>
            <w:r>
              <w:t xml:space="preserve">0.030</w:t>
            </w:r>
          </w:p>
        </w:tc>
      </w:tr>
    </w:tbl>
    <w:p>
      <w:pPr>
        <w:pStyle w:val="BodyText"/>
      </w:pPr>
      <w:r>
        <w:rPr>
          <w:i/>
          <w:iCs/>
        </w:rPr>
        <w:t xml:space="preserve">Note.</w:t>
      </w:r>
      <w:r>
        <w:t xml:space="preserve"> </w:t>
      </w:r>
      <w:r>
        <w:t xml:space="preserve">Importances sum to 1.0 across all 22 features. Volume-based features dominate the top six positions.</w:t>
      </w:r>
    </w:p>
    <w:p>
      <w:r>
        <w:pict>
          <v:rect style="width:0;height:1.5pt" o:hralign="center" o:hrstd="t" o:hr="t"/>
        </w:pict>
      </w:r>
    </w:p>
    <w:bookmarkEnd w:id="60"/>
    <w:bookmarkStart w:id="61" w:name="X585468e5085cedb5c477f60833a2e7d96093e7e"/>
    <w:p>
      <w:pPr>
        <w:pStyle w:val="Heading2"/>
      </w:pPr>
      <w:r>
        <w:t xml:space="preserve">3.7 How much of retention can pre-baseline information classify?</w:t>
      </w:r>
    </w:p>
    <w:p>
      <w:pPr>
        <w:pStyle w:val="FirstParagraph"/>
      </w:pPr>
      <w:r>
        <w:t xml:space="preserve">Table 6 contrasts cross-validated AUCs for nested predictor subsets. A purely performance-based classifier (sex + Tyrving best) achieves AUC = 0.59 in 5-fold logistic regression. Adding specialization (HHI + number of event categories) raises AUC modestly to 0.60. A pure volume-based classifier using only competitions counted at ages 13–16 achieves AUC = 0.82, a 23-point gain. Combining volume with specialization adds nothing further (AUC = 0.82), and including the full 22-feature set produces an AUC near that of volume alone (logistic AUC = 0.81; random forest AUC = 0.82). In short, behavioral indicators available by approximately age 16 classify eventual senior retention nearly as well as a maximally informative model.</w:t>
      </w:r>
    </w:p>
    <w:bookmarkEnd w:id="61"/>
    <w:bookmarkStart w:id="62" w:name="X0e6538da0bbd50a16933b5f49a36017bec277f7"/>
    <w:p>
      <w:pPr>
        <w:pStyle w:val="Heading2"/>
      </w:pPr>
      <w:r>
        <w:t xml:space="preserve">Table 6. Cross-validated AUC for nested predictor subsets predicting senior retention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c>
          <w:tcPr/>
          <w:p>
            <w:pPr>
              <w:pStyle w:val="Compact"/>
            </w:pPr>
            <w:r>
              <w:t xml:space="preserve">AUC (random forest)</w:t>
            </w:r>
          </w:p>
        </w:tc>
      </w:tr>
      <w:tr>
        <w:tc>
          <w:tcPr/>
          <w:p>
            <w:pPr>
              <w:pStyle w:val="Compact"/>
            </w:pPr>
            <w:r>
              <w:t xml:space="preserve">Baseline only (sex + Tyrving best)</w:t>
            </w:r>
          </w:p>
        </w:tc>
        <w:tc>
          <w:tcPr/>
          <w:p>
            <w:pPr>
              <w:pStyle w:val="Compact"/>
            </w:pPr>
            <w:r>
              <w:t xml:space="preserve">2</w:t>
            </w:r>
          </w:p>
        </w:tc>
        <w:tc>
          <w:tcPr/>
          <w:p>
            <w:pPr>
              <w:pStyle w:val="Compact"/>
            </w:pPr>
            <w:r>
              <w:t xml:space="preserve">1,217</w:t>
            </w:r>
          </w:p>
        </w:tc>
        <w:tc>
          <w:tcPr/>
          <w:p>
            <w:pPr>
              <w:pStyle w:val="Compact"/>
            </w:pPr>
            <w:r>
              <w:t xml:space="preserve">0.59 (±0.04)</w:t>
            </w:r>
          </w:p>
        </w:tc>
        <w:tc>
          <w:tcPr/>
          <w:p>
            <w:pPr>
              <w:pStyle w:val="Compact"/>
            </w:pPr>
            <w:r>
              <w:t xml:space="preserve">0.58 (±0.02)</w:t>
            </w:r>
          </w:p>
        </w:tc>
      </w:tr>
      <w:tr>
        <w:tc>
          <w:tcPr/>
          <w:p>
            <w:pPr>
              <w:pStyle w:val="Compact"/>
            </w:pPr>
            <w:r>
              <w:t xml:space="preserve">Specialization only (sex + HHI + n categories)</w:t>
            </w:r>
          </w:p>
        </w:tc>
        <w:tc>
          <w:tcPr/>
          <w:p>
            <w:pPr>
              <w:pStyle w:val="Compact"/>
            </w:pPr>
            <w:r>
              <w:t xml:space="preserve">3</w:t>
            </w:r>
          </w:p>
        </w:tc>
        <w:tc>
          <w:tcPr/>
          <w:p>
            <w:pPr>
              <w:pStyle w:val="Compact"/>
            </w:pPr>
            <w:r>
              <w:t xml:space="preserve">1,217</w:t>
            </w:r>
          </w:p>
        </w:tc>
        <w:tc>
          <w:tcPr/>
          <w:p>
            <w:pPr>
              <w:pStyle w:val="Compact"/>
            </w:pPr>
            <w:r>
              <w:t xml:space="preserve">0.60 (±0.06)</w:t>
            </w:r>
          </w:p>
        </w:tc>
        <w:tc>
          <w:tcPr/>
          <w:p>
            <w:pPr>
              <w:pStyle w:val="Compact"/>
            </w:pPr>
            <w:r>
              <w:t xml:space="preserve">0.57 (±0.05)</w:t>
            </w:r>
          </w:p>
        </w:tc>
      </w:tr>
      <w:tr>
        <w:tc>
          <w:tcPr/>
          <w:p>
            <w:pPr>
              <w:pStyle w:val="Compact"/>
            </w:pPr>
            <w:r>
              <w:t xml:space="preserve">Volume only (sex + meets ages 13–16)</w:t>
            </w:r>
          </w:p>
        </w:tc>
        <w:tc>
          <w:tcPr/>
          <w:p>
            <w:pPr>
              <w:pStyle w:val="Compact"/>
            </w:pPr>
            <w:r>
              <w:t xml:space="preserve">5</w:t>
            </w:r>
          </w:p>
        </w:tc>
        <w:tc>
          <w:tcPr/>
          <w:p>
            <w:pPr>
              <w:pStyle w:val="Compact"/>
            </w:pPr>
            <w:r>
              <w:t xml:space="preserve">1,217</w:t>
            </w:r>
          </w:p>
        </w:tc>
        <w:tc>
          <w:tcPr/>
          <w:p>
            <w:pPr>
              <w:pStyle w:val="Compact"/>
            </w:pPr>
            <w:r>
              <w:rPr>
                <w:b/>
                <w:bCs/>
              </w:rPr>
              <w:t xml:space="preserve">0.82</w:t>
            </w:r>
            <w:r>
              <w:t xml:space="preserve"> </w:t>
            </w:r>
            <w:r>
              <w:t xml:space="preserve">(±0.03)</w:t>
            </w:r>
          </w:p>
        </w:tc>
        <w:tc>
          <w:tcPr/>
          <w:p>
            <w:pPr>
              <w:pStyle w:val="Compact"/>
            </w:pPr>
            <w:r>
              <w:t xml:space="preserve">0.80 (±0.03)</w:t>
            </w:r>
          </w:p>
        </w:tc>
      </w:tr>
      <w:tr>
        <w:tc>
          <w:tcPr/>
          <w:p>
            <w:pPr>
              <w:pStyle w:val="Compact"/>
            </w:pPr>
            <w:r>
              <w:t xml:space="preserve">Volume + specialization (pre-baseline behavioral)</w:t>
            </w:r>
          </w:p>
        </w:tc>
        <w:tc>
          <w:tcPr/>
          <w:p>
            <w:pPr>
              <w:pStyle w:val="Compact"/>
            </w:pPr>
            <w:r>
              <w:t xml:space="preserve">8</w:t>
            </w:r>
          </w:p>
        </w:tc>
        <w:tc>
          <w:tcPr/>
          <w:p>
            <w:pPr>
              <w:pStyle w:val="Compact"/>
            </w:pPr>
            <w:r>
              <w:t xml:space="preserve">1,217</w:t>
            </w:r>
          </w:p>
        </w:tc>
        <w:tc>
          <w:tcPr/>
          <w:p>
            <w:pPr>
              <w:pStyle w:val="Compact"/>
            </w:pPr>
            <w:r>
              <w:t xml:space="preserve">0.82 (±0.03)</w:t>
            </w:r>
          </w:p>
        </w:tc>
        <w:tc>
          <w:tcPr/>
          <w:p>
            <w:pPr>
              <w:pStyle w:val="Compact"/>
            </w:pPr>
            <w:r>
              <w:t xml:space="preserve">0.80 (±0.03)</w:t>
            </w:r>
          </w:p>
        </w:tc>
      </w:tr>
      <w:tr>
        <w:tc>
          <w:tcPr/>
          <w:p>
            <w:pPr>
              <w:pStyle w:val="Compact"/>
            </w:pPr>
            <w:r>
              <w:t xml:space="preserve">Full model (all 22 predictors)</w:t>
            </w:r>
          </w:p>
        </w:tc>
        <w:tc>
          <w:tcPr/>
          <w:p>
            <w:pPr>
              <w:pStyle w:val="Compact"/>
            </w:pPr>
            <w:r>
              <w:t xml:space="preserve">22</w:t>
            </w:r>
          </w:p>
        </w:tc>
        <w:tc>
          <w:tcPr/>
          <w:p>
            <w:pPr>
              <w:pStyle w:val="Compact"/>
            </w:pPr>
            <w:r>
              <w:t xml:space="preserve">1,217</w:t>
            </w:r>
          </w:p>
        </w:tc>
        <w:tc>
          <w:tcPr/>
          <w:p>
            <w:pPr>
              <w:pStyle w:val="Compact"/>
            </w:pPr>
            <w:r>
              <w:t xml:space="preserve">0.81 (±0.03)</w:t>
            </w:r>
          </w:p>
        </w:tc>
        <w:tc>
          <w:tcPr/>
          <w:p>
            <w:pPr>
              <w:pStyle w:val="Compact"/>
            </w:pPr>
            <w:r>
              <w:t xml:space="preserve">0.82 (±0.03)</w:t>
            </w:r>
          </w:p>
        </w:tc>
      </w:tr>
    </w:tbl>
    <w:p>
      <w:pPr>
        <w:pStyle w:val="BodyText"/>
      </w:pPr>
      <w:r>
        <w:rPr>
          <w:i/>
          <w:iCs/>
        </w:rPr>
        <w:t xml:space="preserve">Note.</w:t>
      </w:r>
      <w:r>
        <w:t xml:space="preserve"> </w:t>
      </w:r>
      <w:r>
        <w:t xml:space="preserve">AUC is mean ± SD across 5-fold stratified cross-validation. Behavioral volume indicators (Volume-only) achieve performance close to the full predictor set.</w:t>
      </w:r>
    </w:p>
    <w:p>
      <w:r>
        <w:pict>
          <v:rect style="width:0;height:1.5pt" o:hralign="center" o:hrstd="t" o:hr="t"/>
        </w:pict>
      </w:r>
    </w:p>
    <w:bookmarkEnd w:id="62"/>
    <w:bookmarkStart w:id="63" w:name="cross-cohort-replication"/>
    <w:p>
      <w:pPr>
        <w:pStyle w:val="Heading2"/>
      </w:pPr>
      <w:r>
        <w:t xml:space="preserve">3.8 Cross-cohort replication</w:t>
      </w:r>
    </w:p>
    <w:p>
      <w:pPr>
        <w:pStyle w:val="FirstParagraph"/>
      </w:pPr>
      <w:r>
        <w:t xml:space="preserve">Replication across the two birth-year cohorts is presented in Table 7. The volume-at-milestone effect replicated in both cohorts at similar magnitude (Cohort A HR = 0.49 per SD, p &lt; .001; Cohort B HR = 0.36 per SD, p &lt; .001). Championship-types also replicated (Cohort A HR = 0.71, p &lt; .001; Cohort B HR = 0.77, p &lt; .001). Both cohorts produced very similar C-indices (Cohort A 0.835; Cohort B 0.852). The sex coefficient differed between cohorts: it was elevated and statistically significant in Cohort A (HR = 1.19, p = 0.006) but not in Cohort B (HR = 1.02, p = 0.83). Performance and specialization coefficients varied in sign and significance but were always small in magnitude relative to volume.</w:t>
      </w:r>
    </w:p>
    <w:bookmarkEnd w:id="63"/>
    <w:bookmarkStart w:id="64" w:name="X1b567785133ca62f4b74fa1df86e694c66837dd"/>
    <w:p>
      <w:pPr>
        <w:pStyle w:val="Heading2"/>
      </w:pPr>
      <w:r>
        <w:t xml:space="preserve">Table 7. Cross-cohort replication: full Cox model fit separately in each birth cohort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r>
      <w:tr>
        <w:tc>
          <w:tcPr/>
          <w:p>
            <w:pPr>
              <w:pStyle w:val="Compact"/>
            </w:pPr>
            <w:r>
              <w:t xml:space="preserve">1998–2000</w:t>
            </w:r>
          </w:p>
        </w:tc>
        <w:tc>
          <w:tcPr/>
          <w:p>
            <w:pPr>
              <w:pStyle w:val="Compact"/>
            </w:pPr>
            <w:r>
              <w:t xml:space="preserve">1,065</w:t>
            </w:r>
          </w:p>
        </w:tc>
        <w:tc>
          <w:tcPr/>
          <w:p>
            <w:pPr>
              <w:pStyle w:val="Compact"/>
            </w:pPr>
            <w:r>
              <w:t xml:space="preserve">Female</w:t>
            </w:r>
          </w:p>
        </w:tc>
        <w:tc>
          <w:tcPr/>
          <w:p>
            <w:pPr>
              <w:pStyle w:val="Compact"/>
            </w:pPr>
            <w:r>
              <w:t xml:space="preserve">1.19</w:t>
            </w:r>
          </w:p>
        </w:tc>
        <w:tc>
          <w:tcPr/>
          <w:p>
            <w:pPr>
              <w:pStyle w:val="Compact"/>
            </w:pPr>
            <w:r>
              <w:t xml:space="preserve">[1.05, 1.35]</w:t>
            </w:r>
          </w:p>
        </w:tc>
        <w:tc>
          <w:tcPr/>
          <w:p>
            <w:pPr>
              <w:pStyle w:val="Compact"/>
            </w:pPr>
            <w:r>
              <w:t xml:space="preserve">.006</w:t>
            </w:r>
          </w:p>
        </w:tc>
        <w:tc>
          <w:tcPr/>
          <w:p>
            <w:pPr>
              <w:pStyle w:val="Compact"/>
            </w:pPr>
            <w:r>
              <w:t xml:space="preserve">0.835</w:t>
            </w:r>
          </w:p>
        </w:tc>
      </w:tr>
      <w:tr>
        <w:tc>
          <w:tcPr/>
          <w:p>
            <w:pPr>
              <w:pStyle w:val="Compact"/>
            </w:pPr>
          </w:p>
        </w:tc>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[0.97, 1.10]</w:t>
            </w:r>
          </w:p>
        </w:tc>
        <w:tc>
          <w:tcPr/>
          <w:p>
            <w:pPr>
              <w:pStyle w:val="Compact"/>
            </w:pPr>
            <w:r>
              <w:t xml:space="preserve">.275</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1.00</w:t>
            </w:r>
          </w:p>
        </w:tc>
        <w:tc>
          <w:tcPr/>
          <w:p>
            <w:pPr>
              <w:pStyle w:val="Compact"/>
            </w:pPr>
            <w:r>
              <w:t xml:space="preserve">[0.94, 1.07]</w:t>
            </w:r>
          </w:p>
        </w:tc>
        <w:tc>
          <w:tcPr/>
          <w:p>
            <w:pPr>
              <w:pStyle w:val="Compact"/>
            </w:pPr>
            <w:r>
              <w:t xml:space="preserve">.966</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0.49</w:t>
            </w:r>
          </w:p>
        </w:tc>
        <w:tc>
          <w:tcPr/>
          <w:p>
            <w:pPr>
              <w:pStyle w:val="Compact"/>
            </w:pPr>
            <w:r>
              <w:rPr>
                <w:b/>
                <w:bCs/>
              </w:rPr>
              <w:t xml:space="preserve">[0.44, 0.55]</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0.71</w:t>
            </w:r>
          </w:p>
        </w:tc>
        <w:tc>
          <w:tcPr/>
          <w:p>
            <w:pPr>
              <w:pStyle w:val="Compact"/>
            </w:pPr>
            <w:r>
              <w:t xml:space="preserve">[0.65, 0.78]</w:t>
            </w:r>
          </w:p>
        </w:tc>
        <w:tc>
          <w:tcPr/>
          <w:p>
            <w:pPr>
              <w:pStyle w:val="Compact"/>
            </w:pPr>
            <w:r>
              <w:t xml:space="preserve">&lt; .001</w:t>
            </w:r>
          </w:p>
        </w:tc>
        <w:tc>
          <w:tcPr/>
          <w:p>
            <w:pPr>
              <w:pStyle w:val="Compact"/>
            </w:pPr>
          </w:p>
        </w:tc>
      </w:tr>
      <w:tr>
        <w:tc>
          <w:tcPr/>
          <w:p>
            <w:pPr>
              <w:pStyle w:val="Compact"/>
            </w:pPr>
            <w:r>
              <w:t xml:space="preserve">2001–2002</w:t>
            </w:r>
          </w:p>
        </w:tc>
        <w:tc>
          <w:tcPr/>
          <w:p>
            <w:pPr>
              <w:pStyle w:val="Compact"/>
            </w:pPr>
            <w:r>
              <w:t xml:space="preserve">639</w:t>
            </w:r>
          </w:p>
        </w:tc>
        <w:tc>
          <w:tcPr/>
          <w:p>
            <w:pPr>
              <w:pStyle w:val="Compact"/>
            </w:pPr>
            <w:r>
              <w:t xml:space="preserve">Female</w:t>
            </w:r>
          </w:p>
        </w:tc>
        <w:tc>
          <w:tcPr/>
          <w:p>
            <w:pPr>
              <w:pStyle w:val="Compact"/>
            </w:pPr>
            <w:r>
              <w:t xml:space="preserve">1.02</w:t>
            </w:r>
          </w:p>
        </w:tc>
        <w:tc>
          <w:tcPr/>
          <w:p>
            <w:pPr>
              <w:pStyle w:val="Compact"/>
            </w:pPr>
            <w:r>
              <w:t xml:space="preserve">[0.86, 1.21]</w:t>
            </w:r>
          </w:p>
        </w:tc>
        <w:tc>
          <w:tcPr/>
          <w:p>
            <w:pPr>
              <w:pStyle w:val="Compact"/>
            </w:pPr>
            <w:r>
              <w:t xml:space="preserve">.833</w:t>
            </w:r>
          </w:p>
        </w:tc>
        <w:tc>
          <w:tcPr/>
          <w:p>
            <w:pPr>
              <w:pStyle w:val="Compact"/>
            </w:pPr>
            <w:r>
              <w:t xml:space="preserve">0.852</w:t>
            </w:r>
          </w:p>
        </w:tc>
      </w:tr>
      <w:tr>
        <w:tc>
          <w:tcPr/>
          <w:p>
            <w:pPr>
              <w:pStyle w:val="Compact"/>
            </w:pPr>
          </w:p>
        </w:tc>
        <w:tc>
          <w:tcPr/>
          <w:p>
            <w:pPr>
              <w:pStyle w:val="Compact"/>
            </w:pPr>
          </w:p>
        </w:tc>
        <w:tc>
          <w:tcPr/>
          <w:p>
            <w:pPr>
              <w:pStyle w:val="Compact"/>
            </w:pPr>
            <w:r>
              <w:t xml:space="preserve">Tyrving (z)</w:t>
            </w:r>
          </w:p>
        </w:tc>
        <w:tc>
          <w:tcPr/>
          <w:p>
            <w:pPr>
              <w:pStyle w:val="Compact"/>
            </w:pPr>
            <w:r>
              <w:t xml:space="preserve">1.09</w:t>
            </w:r>
          </w:p>
        </w:tc>
        <w:tc>
          <w:tcPr/>
          <w:p>
            <w:pPr>
              <w:pStyle w:val="Compact"/>
            </w:pPr>
            <w:r>
              <w:t xml:space="preserve">[1.00, 1.19]</w:t>
            </w:r>
          </w:p>
        </w:tc>
        <w:tc>
          <w:tcPr/>
          <w:p>
            <w:pPr>
              <w:pStyle w:val="Compact"/>
            </w:pPr>
            <w:r>
              <w:t xml:space="preserve">.047</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0.88</w:t>
            </w:r>
          </w:p>
        </w:tc>
        <w:tc>
          <w:tcPr/>
          <w:p>
            <w:pPr>
              <w:pStyle w:val="Compact"/>
            </w:pPr>
            <w:r>
              <w:t xml:space="preserve">[0.80, 0.96]</w:t>
            </w:r>
          </w:p>
        </w:tc>
        <w:tc>
          <w:tcPr/>
          <w:p>
            <w:pPr>
              <w:pStyle w:val="Compact"/>
            </w:pPr>
            <w:r>
              <w:t xml:space="preserve">.004</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0.36</w:t>
            </w:r>
          </w:p>
        </w:tc>
        <w:tc>
          <w:tcPr/>
          <w:p>
            <w:pPr>
              <w:pStyle w:val="Compact"/>
            </w:pPr>
            <w:r>
              <w:rPr>
                <w:b/>
                <w:bCs/>
              </w:rPr>
              <w:t xml:space="preserve">[0.31, 0.43]</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0.77</w:t>
            </w:r>
          </w:p>
        </w:tc>
        <w:tc>
          <w:tcPr/>
          <w:p>
            <w:pPr>
              <w:pStyle w:val="Compact"/>
            </w:pPr>
            <w:r>
              <w:t xml:space="preserve">[0.68, 0.87]</w:t>
            </w:r>
          </w:p>
        </w:tc>
        <w:tc>
          <w:tcPr/>
          <w:p>
            <w:pPr>
              <w:pStyle w:val="Compact"/>
            </w:pPr>
            <w:r>
              <w:t xml:space="preserve">&lt; .001</w:t>
            </w:r>
          </w:p>
        </w:tc>
        <w:tc>
          <w:tcPr/>
          <w:p>
            <w:pPr>
              <w:pStyle w:val="Compact"/>
            </w:pPr>
          </w:p>
        </w:tc>
      </w:tr>
    </w:tbl>
    <w:p>
      <w:pPr>
        <w:pStyle w:val="BodyText"/>
      </w:pPr>
      <w:r>
        <w:rPr>
          <w:i/>
          <w:iCs/>
        </w:rPr>
        <w:t xml:space="preserve">Note.</w:t>
      </w:r>
      <w:r>
        <w:t xml:space="preserve"> </w:t>
      </w:r>
      <w:r>
        <w:t xml:space="preserve">The volume-at-milestone effect replicates in both cohorts at similar magnitude and direction; HHI early (specialization) is significant in Cohort B but not Cohort A; the sex effect is significant in Cohort A but not Cohort B.</w:t>
      </w:r>
    </w:p>
    <w:p>
      <w:r>
        <w:pict>
          <v:rect style="width:0;height:1.5pt" o:hralign="center" o:hrstd="t" o:hr="t"/>
        </w:pict>
      </w:r>
    </w:p>
    <w:bookmarkEnd w:id="64"/>
    <w:bookmarkEnd w:id="65"/>
    <w:bookmarkStart w:id="77" w:name="supplementary-tables"/>
    <w:p>
      <w:pPr>
        <w:pStyle w:val="Heading1"/>
      </w:pPr>
      <w:r>
        <w:t xml:space="preserve">Supplementary Tables</w:t>
      </w:r>
    </w:p>
    <w:bookmarkStart w:id="66" w:name="sensitivity-analyses"/>
    <w:p>
      <w:pPr>
        <w:pStyle w:val="Heading2"/>
      </w:pPr>
      <w:r>
        <w:t xml:space="preserve">3.9 Sensitivity analyses</w:t>
      </w:r>
    </w:p>
    <w:p>
      <w:pPr>
        <w:pStyle w:val="FirstParagraph"/>
      </w:pPr>
      <w:r>
        <w:t xml:space="preserve">To assess the robustness of the volume-at-milestone effect to plausible threats to validity, we computed four additional sensitivity analyses (Supplementary Tables S2–S5).</w:t>
      </w:r>
    </w:p>
    <w:p>
      <w:pPr>
        <w:pStyle w:val="BodyText"/>
      </w:pPr>
      <w:r>
        <w:rPr>
          <w:b/>
          <w:bCs/>
        </w:rPr>
        <w:t xml:space="preserve">Unmeasured confounding.</w:t>
      </w:r>
      <w:r>
        <w:t xml:space="preserve"> </w:t>
      </w:r>
      <w:r>
        <w:t xml:space="preserve">The</w:t>
      </w:r>
      <w:r>
        <w:t xml:space="preserve"> </w:t>
      </w:r>
      <w:r>
        <w:rPr>
          <w:i/>
          <w:iCs/>
        </w:rPr>
        <w:t xml:space="preserve">E-value</w:t>
      </w:r>
      <w:r>
        <w:t xml:space="preserve"> </w:t>
      </w:r>
      <w:r>
        <w:t xml:space="preserve">for the volume-at-milestone effect (HR = 0.35) was 5.16, with a corresponding lower-CI E-value of 4.70 (VanderWeele &amp; Ding, 2017). An unmeasured confounder would therefore need to be associated with both baseline competition volume and senior retention by a risk ratio of at least 5.16 — substantially stronger than the most predictive observed covariate in our data — to explain away the protective effect. E-values for championship-types (HR = 0.74; E = 2.04) and Tyrving baseline performance (HR = 0.86 in M2; E = 1.60) were correspondingly lower, indicating that those secondary effects could in principle be undermined by moderately strong unmeasured confounding, though the volume effect could not.</w:t>
      </w:r>
    </w:p>
    <w:p>
      <w:pPr>
        <w:pStyle w:val="BodyText"/>
      </w:pPr>
      <w:r>
        <w:rPr>
          <w:b/>
          <w:bCs/>
        </w:rPr>
        <w:t xml:space="preserve">Clustering by club.</w:t>
      </w:r>
      <w:r>
        <w:t xml:space="preserve"> </w:t>
      </w:r>
      <w:r>
        <w:t xml:space="preserve">Re-estimating the full Cox model with cluster-robust standard errors at the club level (Lin &amp; Wei, 1989) left point estimates unchanged and 95% confidence intervals only marginally wider (Supplementary Table S2). The substantive conclusions were unaffected.</w:t>
      </w:r>
    </w:p>
    <w:p>
      <w:pPr>
        <w:pStyle w:val="BodyText"/>
      </w:pPr>
      <w:r>
        <w:rPr>
          <w:b/>
          <w:bCs/>
        </w:rPr>
        <w:t xml:space="preserve">Missing data.</w:t>
      </w:r>
      <w:r>
        <w:t xml:space="preserve"> </w:t>
      </w:r>
      <w:r>
        <w:t xml:space="preserve">Substituting variable means for missing covariates and re-estimating the full Cox model produced near-identical estimates to the complete-case results (e.g., vol_milepael HR = 0.45 imputed vs. 0.44 complete-case; Supplementary Table S5).</w:t>
      </w:r>
    </w:p>
    <w:p>
      <w:pPr>
        <w:pStyle w:val="BodyText"/>
      </w:pPr>
      <w:r>
        <w:rPr>
          <w:b/>
          <w:bCs/>
        </w:rPr>
        <w:t xml:space="preserve">Sex stratification.</w:t>
      </w:r>
      <w:r>
        <w:t xml:space="preserve"> </w:t>
      </w:r>
      <w:r>
        <w:t xml:space="preserve">Fitting the full Cox model separately in male and female athletes produced identical C-indices (0.843 in each) and concordant effect directions (Supplementary Table S7), confirming that the behavioral pattern is not sex-specific.</w:t>
      </w:r>
    </w:p>
    <w:p>
      <w:pPr>
        <w:pStyle w:val="BodyText"/>
      </w:pPr>
      <w:r>
        <w:t xml:space="preserve">In summary: across two independent birth-year cohorts spanning a 5-year window, the same behavioral pattern — competition volume at the qualification-milestone year as the dominant retention predictor — appeared with concordant magnitude and direction. Performance and specialization remained weak predictors. Future-dropout trajectories were visibly distinguishable from future-retainer trajectories from age 15 onward. Sensitivity analyses confirmed that the volume effect is robust to unmeasured confounding (E = 5.16), club-level clustering, missing-data treatment, and sex stratification, and that its protective magnitude is concentrated in the years immediately following the qualification milestone.</w:t>
      </w:r>
    </w:p>
    <w:p>
      <w:r>
        <w:pict>
          <v:rect style="width:0;height:1.5pt" o:hralign="center" o:hrstd="t" o:hr="t"/>
        </w:pict>
      </w:r>
    </w:p>
    <w:bookmarkEnd w:id="66"/>
    <w:bookmarkStart w:id="67" w:name="discussion"/>
    <w:p>
      <w:pPr>
        <w:pStyle w:val="Heading2"/>
      </w:pPr>
      <w:r>
        <w:t xml:space="preserve">4. Discussion</w:t>
      </w:r>
    </w:p>
    <w:p>
      <w:pPr>
        <w:pStyle w:val="FirstParagraph"/>
      </w:pPr>
      <w:r>
        <w:t xml:space="preserve">In a population of 2,123 Norwegian youth track-and-field athletes followed for up to 14 years, three findings stand out. First, dropout was a</w:t>
      </w:r>
      <w:r>
        <w:t xml:space="preserve"> </w:t>
      </w:r>
      <w:r>
        <w:rPr>
          <w:i/>
          <w:iCs/>
        </w:rPr>
        <w:t xml:space="preserve">behavioral</w:t>
      </w:r>
      <w:r>
        <w:t xml:space="preserve"> </w:t>
      </w:r>
      <w:r>
        <w:t xml:space="preserve">phenomenon: competition volume at the qualification-milestone year (age 15–16) was the strongest single predictor of senior retention, more than tripling the discriminative accuracy of models built on performance and specialization (Cox C-index 0.85 vs. 0.57). Second, dropout was</w:t>
      </w:r>
      <w:r>
        <w:t xml:space="preserve"> </w:t>
      </w:r>
      <w:r>
        <w:rPr>
          <w:i/>
          <w:iCs/>
        </w:rPr>
        <w:t xml:space="preserve">gradual</w:t>
      </w:r>
      <w:r>
        <w:t xml:space="preserve">: future dropouts visibly reduced their participation 2–3 years before formal exit, with median competitions per year collapsing from 8 at age 14 to 3 at age 15 to 0 at age 16. Third, dropout was</w:t>
      </w:r>
      <w:r>
        <w:t xml:space="preserve"> </w:t>
      </w:r>
      <w:r>
        <w:rPr>
          <w:i/>
          <w:iCs/>
        </w:rPr>
        <w:t xml:space="preserve">cohort-invariant</w:t>
      </w:r>
      <w:r>
        <w:t xml:space="preserve">: the behavioral pattern replicated with concordant magnitude across two independent birth-year cohorts (1998–2000 and 2001–2002) baseline-measured three years apart and followed under different sponsor-name regimes of the same regional youth meet.</w:t>
      </w:r>
    </w:p>
    <w:p>
      <w:pPr>
        <w:pStyle w:val="BodyText"/>
      </w:pPr>
      <w:r>
        <w:t xml:space="preserve">Period-specific Cox modelling showed that the protective volume effect is concentrated in the years immediately following the qualification milestone (HR = 0.14 in years 0–3; HR = 0.69 in years 3–6) and dissipates among athletes who survive into their early twenties (HR = 0.96 in years 6+). The behavioral signal is therefore a marker of</w:t>
      </w:r>
      <w:r>
        <w:t xml:space="preserve"> </w:t>
      </w:r>
      <w:r>
        <w:rPr>
          <w:i/>
          <w:iCs/>
        </w:rPr>
        <w:t xml:space="preserve">proximal</w:t>
      </w:r>
      <w:r>
        <w:t xml:space="preserve"> </w:t>
      </w:r>
      <w:r>
        <w:t xml:space="preserve">disengagement, not a one-shot indicator of life-long athletic disposition. The E-value of 5.16 for the volume effect means an unmeasured confounder would have to be associated with both baseline competition volume and senior retention by a risk ratio exceeding 5 — substantially stronger than any observed covariate in our data — to explain the effect away (VanderWeele &amp; Ding, 2017).</w:t>
      </w:r>
    </w:p>
    <w:p>
      <w:pPr>
        <w:pStyle w:val="BodyText"/>
      </w:pPr>
      <w:r>
        <w:t xml:space="preserve">Below we situate these findings against the theoretical and qualitative literatures that motivated the study, draw out their implications for retention practice, and acknowledge their limitations.</w:t>
      </w:r>
    </w:p>
    <w:bookmarkEnd w:id="67"/>
    <w:bookmarkStart w:id="68" w:name="X92d309e4342189eed332f93fc627ba4a9a036ea"/>
    <w:p>
      <w:pPr>
        <w:pStyle w:val="Heading2"/>
      </w:pPr>
      <w:r>
        <w:t xml:space="preserve">4.1 Triangulating the behavioral signal with three theoretical accounts</w:t>
      </w:r>
    </w:p>
    <w:p>
      <w:pPr>
        <w:pStyle w:val="FirstParagraph"/>
      </w:pPr>
      <w:r>
        <w:t xml:space="preserve">Our findings converge with three pre-existing theoretical accounts of youth-sport withdrawal.</w:t>
      </w:r>
    </w:p>
    <w:p>
      <w:pPr>
        <w:pStyle w:val="BodyText"/>
      </w:pPr>
      <w:r>
        <w:rPr>
          <w:b/>
          <w:bCs/>
        </w:rPr>
        <w:t xml:space="preserve">Sport Commitment Model.</w:t>
      </w:r>
      <w:r>
        <w:t xml:space="preserve"> </w:t>
      </w:r>
      <w:r>
        <w:t xml:space="preserve">Scanlan and colleagues’ (1993, 2016) framework predicts that continued participation depends on the balance of enjoyment, investment, and constraints relative to attractive alternatives.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directly onto the two trajectories visible in our register: athletes whose engagement is enthusiastic appear to expand competition volume across the milestone year (median +6 meets from age 13 to age 15), while athletes whose engagement is constrained pull back at exactly the moment when commitment is being tested by the qualification window (median −5 meets from age 14 to age 15). The Cox model’s failure to retain a significant baseline-performance coefficient once volume is entered (Table 3, M4) is consistent with the SCM prediction that</w:t>
      </w:r>
      <w:r>
        <w:t xml:space="preserve"> </w:t>
      </w:r>
      <w:r>
        <w:rPr>
          <w:i/>
          <w:iCs/>
        </w:rPr>
        <w:t xml:space="preserve">commitment</w:t>
      </w:r>
      <w:r>
        <w:t xml:space="preserve"> </w:t>
      </w:r>
      <w:r>
        <w:t xml:space="preserve">and not</w:t>
      </w:r>
      <w:r>
        <w:t xml:space="preserve"> </w:t>
      </w:r>
      <w:r>
        <w:rPr>
          <w:i/>
          <w:iCs/>
        </w:rPr>
        <w:t xml:space="preserve">capability</w:t>
      </w:r>
      <w:r>
        <w:t xml:space="preserve"> </w:t>
      </w:r>
      <w:r>
        <w:t xml:space="preserve">is the proximal mechanism.</w:t>
      </w:r>
    </w:p>
    <w:p>
      <w:pPr>
        <w:pStyle w:val="BodyText"/>
      </w:pPr>
      <w:r>
        <w:rPr>
          <w:b/>
          <w:bCs/>
        </w:rPr>
        <w:t xml:space="preserve">Self-determination theory.</w:t>
      </w:r>
      <w:r>
        <w:t xml:space="preserve"> </w:t>
      </w:r>
      <w:r>
        <w:t xml:space="preserve">Sarrazin et al.’s (2002) 21-month prospective study of female handballers established that motivational quality at baseline predicts dropout — a finding that has been replicated across sports (Calvo et al., 2010; Standage, 2012) but always at horizons of 1–2 years. Our 14-year follow-up extends this in two ways. First, the</w:t>
      </w:r>
      <w:r>
        <w:t xml:space="preserve"> </w:t>
      </w:r>
      <w:r>
        <w:rPr>
          <w:i/>
          <w:iCs/>
        </w:rPr>
        <w:t xml:space="preserve">behavioral correlate</w:t>
      </w:r>
      <w:r>
        <w:t xml:space="preserve"> </w:t>
      </w:r>
      <w:r>
        <w:t xml:space="preserve">of low intrinsic-internalized motivation (declining competition volume) is observable as early as age 15, which is 5+ years before the eventual senior dropout endpoint. Second, the random forest’s identification of Tyrving performance</w:t>
      </w:r>
      <w:r>
        <w:t xml:space="preserve"> </w:t>
      </w:r>
      <w:r>
        <w:rPr>
          <w:i/>
          <w:iCs/>
        </w:rPr>
        <w:t xml:space="preserve">slope</w:t>
      </w:r>
      <w:r>
        <w:t xml:space="preserve"> </w:t>
      </w:r>
      <w:r>
        <w:t xml:space="preserve">(year-over-year improvement) as the fourth most important predictor — above Tyrving level — is consistent with the SDT prediction that perceived competence growth, not absolute competence, sustains intrinsic motivation (Ryan &amp; Deci, 2000). Athletes who experience progress engage; athletes who plateau disengage.</w:t>
      </w:r>
    </w:p>
    <w:p>
      <w:pPr>
        <w:pStyle w:val="BodyText"/>
      </w:pPr>
      <w:r>
        <w:rPr>
          <w:b/>
          <w:bCs/>
        </w:rPr>
        <w:t xml:space="preserve">Withdrawal-as-process.</w:t>
      </w:r>
      <w:r>
        <w:t xml:space="preserve"> </w:t>
      </w:r>
      <w:r>
        <w:t xml:space="preserve">Eliasson and Johansson (2021), based on semi-structured interviews with 12 girls aged 12–17 and 12 of their parents, characterized withdrawal as a process that</w:t>
      </w:r>
      <w:r>
        <w:t xml:space="preserve"> </w:t>
      </w:r>
      <w:r>
        <w:t xml:space="preserve">“may be fairly long and emotional for young athletes, and less reversible the further into the process they progress.”</w:t>
      </w:r>
      <w:r>
        <w:t xml:space="preserve"> </w:t>
      </w:r>
      <w:r>
        <w:t xml:space="preserve">Espedalen and Seippel (2022), surveying 1,648 Norwegian adolescents who had recently left organized sport, document that perceived cost–benefit imbalance — not lack of ability — is the modal exit motive. In our register, that long process is visible directly: at age 15 a typical future dropout was still competing in 3 meets (median); the interquartile range stretched from 0 to 11 meets, meaning many future dropouts were still nominally active. They had not yet left, but they were leaving. The temporal pattern is hard to demonstrate by interview because by the time a researcher recruits an interviewee, the process has typically resolved one way or the other. The register’s continuous timestamping makes the process observable in real time.</w:t>
      </w:r>
    </w:p>
    <w:p>
      <w:pPr>
        <w:pStyle w:val="BodyText"/>
      </w:pPr>
      <w:r>
        <w:t xml:space="preserve">A complementary observation, originally articulated by Wall and Côté (2007) in elite ice hockey and echoed in Espedalen’s wider doctoral programme (Espedalen, 2025), is that organized youth sport typically contains</w:t>
      </w:r>
      <w:r>
        <w:t xml:space="preserve"> </w:t>
      </w:r>
      <w:r>
        <w:rPr>
          <w:i/>
          <w:iCs/>
        </w:rPr>
        <w:t xml:space="preserve">two populations</w:t>
      </w:r>
      <w:r>
        <w:t xml:space="preserve">: a smaller committed/investor group whose sport identity is integrated with their wider lives, and a larger sampler group oriented toward accessible enjoyment that readily moves between activities. In our data the two populations are detectable behaviorally well before any formal selection event: future retainers and future dropouts diverge in competition volume from age 15, and the divergence increases monotonically with age. This is exactly the</w:t>
      </w:r>
      <w:r>
        <w:t xml:space="preserve"> </w:t>
      </w:r>
      <w:r>
        <w:rPr>
          <w:i/>
          <w:iCs/>
        </w:rPr>
        <w:t xml:space="preserve">committed</w:t>
      </w:r>
      <w:r>
        <w:t xml:space="preserve"> </w:t>
      </w:r>
      <w:r>
        <w:t xml:space="preserve">vs. </w:t>
      </w:r>
      <w:r>
        <w:rPr>
          <w:i/>
          <w:iCs/>
        </w:rPr>
        <w:t xml:space="preserve">casual</w:t>
      </w:r>
      <w:r>
        <w:t xml:space="preserve"> </w:t>
      </w:r>
      <w:r>
        <w:t xml:space="preserve">distinction described by Espedalen, expressed in measurable behavior rather than self-report.</w:t>
      </w:r>
    </w:p>
    <w:bookmarkEnd w:id="68"/>
    <w:bookmarkStart w:id="69" w:name="X3e5c6c1f3dd3befb45231a23944b815dc0b1de9"/>
    <w:p>
      <w:pPr>
        <w:pStyle w:val="Heading2"/>
      </w:pPr>
      <w:r>
        <w:t xml:space="preserve">4.2 One point of theoretical divergence: the sex effect</w:t>
      </w:r>
    </w:p>
    <w:p>
      <w:pPr>
        <w:pStyle w:val="FirstParagraph"/>
      </w:pPr>
      <w:r>
        <w:t xml:space="preserve">Bakken (2019) and other Norwegian survey-based analyses report substantial sex differences in youth-sport withdrawal: girls leave organized sport earlier and at higher rates than boys, particularly during the transition to junior age (Crane &amp; Temple, 2015 in the international literature). Our unadjusted Kaplan-Meier curves found no overall sex difference in track-and-field retention (log-rank p = 0.33). In one of our two cohorts the female coefficient was nominally elevated in the multivariable Cox model (Cohort A HR = 1.19, p = 0.006); in the other cohort it was not (Cohort B HR = 1.02, p = 0.83).</w:t>
      </w:r>
    </w:p>
    <w:p>
      <w:pPr>
        <w:pStyle w:val="BodyText"/>
      </w:pPr>
      <w:r>
        <w:t xml:space="preserve">Two readings are plausible. One is that prior reports of sex differences are confounded with sport-specific factors, and track and field — where event diversity is large and physical demands are sex-differentiated by event rather than across the sport — does not display the sex gradient seen in team sports. A second is that the differential observed in Cohort A reflects an older-cohort effect that is dissipating as girls’ participation in elite-oriented endurance and field events has grown. The subgroup-by-sex analysis (Supplementary Table S7) shows that the</w:t>
      </w:r>
      <w:r>
        <w:t xml:space="preserve"> </w:t>
      </w:r>
      <w:r>
        <w:rPr>
          <w:i/>
          <w:iCs/>
        </w:rPr>
        <w:t xml:space="preserve">behavioral</w:t>
      </w:r>
      <w:r>
        <w:t xml:space="preserve"> </w:t>
      </w:r>
      <w:r>
        <w:t xml:space="preserve">mechanism is identical across sexes: volume at age 15–16 protects against dropout in both male (HR = 0.42) and female (HR = 0.46) athletes. Whatever drives the residual sex differential in retention, it operates on top of, not through, the behavioral engagement pathway.</w:t>
      </w:r>
    </w:p>
    <w:bookmarkEnd w:id="69"/>
    <w:bookmarkStart w:id="70" w:name="what-the-register-contributes"/>
    <w:p>
      <w:pPr>
        <w:pStyle w:val="Heading2"/>
      </w:pPr>
      <w:r>
        <w:t xml:space="preserve">4.3 What the register contributes</w:t>
      </w:r>
    </w:p>
    <w:p>
      <w:pPr>
        <w:pStyle w:val="FirstParagraph"/>
      </w:pPr>
      <w:r>
        <w:t xml:space="preserve">Survey and interview research on youth-sport dropout suffers from two structural limitations. First, participants who have already left the sport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to the literature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(competition volume at the qualification milestone) classifies eventual senior retention at AUC = 0.82, replicates across two birth-year cohorts measured three years apart, withstands an E-value sensitivity of 5.16, and behaves coherently across follow-up windows. None of the qualitative or survey-based accounts predicted this exact predictive magnitude; that they all</w:t>
      </w:r>
      <w:r>
        <w:t xml:space="preserve"> </w:t>
      </w:r>
      <w:r>
        <w:rPr>
          <w:i/>
          <w:iCs/>
        </w:rPr>
        <w:t xml:space="preserve">consistently</w:t>
      </w:r>
      <w:r>
        <w:t xml:space="preserve"> </w:t>
      </w:r>
      <w:r>
        <w:t xml:space="preserve">predicted its sign and approximate magnitude is, we suggest, a non-trivial corroboration via methodological triangulation (Denzin, 2009; Heale &amp; Forbes, 2013).</w:t>
      </w:r>
    </w:p>
    <w:bookmarkEnd w:id="70"/>
    <w:bookmarkStart w:id="71" w:name="practical-implications"/>
    <w:p>
      <w:pPr>
        <w:pStyle w:val="Heading2"/>
      </w:pPr>
      <w:r>
        <w:t xml:space="preserve">4.4 Practical implications</w:t>
      </w:r>
    </w:p>
    <w:p>
      <w:pPr>
        <w:pStyle w:val="FirstParagraph"/>
      </w:pPr>
      <w:r>
        <w:t xml:space="preserve">The findings suggest a tractable early-warning approach for retention-focused interventions. Most coaches and federations track performance closely — improvement, personal bests, rankings — because performance is what selection ultimately depends on. Few systematically track competition volume in the way our analysis does. Our data suggest that a coach who sees an athlete’s annual meet count drop from ~10 in their 14-year-old season to ~3 in their 15-year-old season has a</w:t>
      </w:r>
      <w:r>
        <w:t xml:space="preserve"> </w:t>
      </w:r>
      <w:r>
        <w:rPr>
          <w:i/>
          <w:iCs/>
        </w:rPr>
        <w:t xml:space="preserve">behavioral</w:t>
      </w:r>
      <w:r>
        <w:t xml:space="preserve"> </w:t>
      </w:r>
      <w:r>
        <w:t xml:space="preserve">warning at least as predictive of imminent dropout as any plausible performance signal. The lead time — 2 to 3 years between the behavioral decline and the formal exit — is long enough for federation-level outreach, coach check-ins, or program redesign to plausibly affect the trajectory.</w:t>
      </w:r>
    </w:p>
    <w:p>
      <w:pPr>
        <w:pStyle w:val="BodyText"/>
      </w:pPr>
      <w:r>
        <w:t xml:space="preserve">The time-varying analysis (Table 4) sharpens this: the volume signal is most informative in the first three years after baseline, which corresponds to ages 15–17 — the very years that Espedalen and Seippel (2022) and Eliasson and Johansson (2021) identify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w:t>
      </w:r>
    </w:p>
    <w:p>
      <w:pPr>
        <w:pStyle w:val="BodyText"/>
      </w:pPr>
      <w:r>
        <w:t xml:space="preserve">A complementary implication concerns</w:t>
      </w:r>
      <w:r>
        <w:t xml:space="preserve"> </w:t>
      </w:r>
      <w:r>
        <w:rPr>
          <w:i/>
          <w:iCs/>
        </w:rPr>
        <w:t xml:space="preserve">what to encourage</w:t>
      </w:r>
      <w:r>
        <w:t xml:space="preserve">. Cross-event diversification (lower HHI) was protective of senior retention in our data, and the protective effect was specifically stronger in Cohort B (HR = 0.88 per SD of HHI, p = 0.004). Federations and clubs that funnel adolescents toward early single-event specialization may inadvertently be removing one of the behavioral protective factors against dropout. The pattern is consistent with the international</w:t>
      </w:r>
      <w:r>
        <w:t xml:space="preserve"> </w:t>
      </w:r>
      <w:r>
        <w:t xml:space="preserve">“early diversification”</w:t>
      </w:r>
      <w:r>
        <w:t xml:space="preserve"> </w:t>
      </w:r>
      <w:r>
        <w:t xml:space="preserve">literature (Côté &amp; Hancock, 2016; Güllich et al., 2022; Wall &amp; Côté, 2007), but the mechanism we observe here is one of</w:t>
      </w:r>
      <w:r>
        <w:t xml:space="preserve"> </w:t>
      </w:r>
      <w:r>
        <w:rPr>
          <w:i/>
          <w:iCs/>
        </w:rPr>
        <w:t xml:space="preserve">retention</w:t>
      </w:r>
      <w:r>
        <w:t xml:space="preserve"> </w:t>
      </w:r>
      <w:r>
        <w:t xml:space="preserve">rather than</w:t>
      </w:r>
      <w:r>
        <w:t xml:space="preserve"> </w:t>
      </w:r>
      <w:r>
        <w:rPr>
          <w:i/>
          <w:iCs/>
        </w:rPr>
        <w:t xml:space="preserve">peak performance</w:t>
      </w:r>
      <w:r>
        <w:t xml:space="preserve">: it is not that diversifiers reach higher peaks, but that they are less likely to leave.</w:t>
      </w:r>
    </w:p>
    <w:p>
      <w:pPr>
        <w:pStyle w:val="BodyText"/>
      </w:pPr>
      <w:r>
        <w:t xml:space="preserve">A specific operational recommendation, building on Scanlan et al.’s (2016) SCQ-2 instrument, would be to combine periodic survey assessment of commitment quality with continuous register-based behavioral surveillance. Behavioral surveillance answers</w:t>
      </w:r>
      <w:r>
        <w:t xml:space="preserve"> </w:t>
      </w:r>
      <w:r>
        <w:t xml:space="preserve">“is this athlete</w:t>
      </w:r>
      <w:r>
        <w:t xml:space="preserve"> </w:t>
      </w:r>
      <w:r>
        <w:rPr>
          <w:i/>
          <w:iCs/>
        </w:rPr>
        <w:t xml:space="preserve">acting</w:t>
      </w:r>
      <w:r>
        <w:t xml:space="preserve"> </w:t>
      </w:r>
      <w:r>
        <w:t xml:space="preserve">like a future retainer?”</w:t>
      </w:r>
      <w:r>
        <w:t xml:space="preserve"> </w:t>
      </w:r>
      <w:r>
        <w:t xml:space="preserve">— a question that requires no athlete contact and produces no recall bias. Survey assessment answers</w:t>
      </w:r>
      <w:r>
        <w:t xml:space="preserve"> </w:t>
      </w:r>
      <w:r>
        <w:t xml:space="preserve">“is this athlete</w:t>
      </w:r>
      <w:r>
        <w:t xml:space="preserve"> </w:t>
      </w:r>
      <w:r>
        <w:rPr>
          <w:i/>
          <w:iCs/>
        </w:rPr>
        <w:t xml:space="preserve">thinking</w:t>
      </w:r>
      <w:r>
        <w:t xml:space="preserve"> </w:t>
      </w:r>
      <w:r>
        <w:t xml:space="preserve">like a future retainer?”</w:t>
      </w:r>
      <w:r>
        <w:t xml:space="preserve"> </w:t>
      </w:r>
      <w:r>
        <w:t xml:space="preserve">— a question with finer-grained mechanistic detail. The combination should be more informative than either alone.</w:t>
      </w:r>
    </w:p>
    <w:bookmarkEnd w:id="71"/>
    <w:bookmarkStart w:id="72" w:name="limitations"/>
    <w:p>
      <w:pPr>
        <w:pStyle w:val="Heading2"/>
      </w:pPr>
      <w:r>
        <w:t xml:space="preserve">4.5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their parents had reduced support, because school demands had increased, because a coach had not selected them, or because they had become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w:t>
      </w:r>
    </w:p>
    <w:p>
      <w:pPr>
        <w:pStyle w:val="BodyText"/>
      </w:pPr>
      <w:r>
        <w:t xml:space="preserve">Third, the population is selected. Athletes who participate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the proportional-hazards assumption was violated for the dominant predictor (Schoenfeld χ² = 220.77, p &lt; .001). We addressed this with period-specific Cox models (Table 4) and a stratified model (Supplementary Table S6), both of which preserved the substantive conclusion that the volume effect is large and protective in the proximal follow-up window. The PH violation should therefore be read as a</w:t>
      </w:r>
      <w:r>
        <w:t xml:space="preserve"> </w:t>
      </w:r>
      <w:r>
        <w:rPr>
          <w:i/>
          <w:iCs/>
        </w:rPr>
        <w:t xml:space="preserve">feature</w:t>
      </w:r>
      <w:r>
        <w:t xml:space="preserve"> </w:t>
      </w:r>
      <w:r>
        <w:t xml:space="preserve">of the data — the effect genuinely is time-varying, concentrated in the qualification-milestone aftermath — rather than as a statistical defect.</w:t>
      </w:r>
    </w:p>
    <w:p>
      <w:pPr>
        <w:pStyle w:val="BodyText"/>
      </w:pPr>
      <w:r>
        <w:t xml:space="preserve">Fifth, despite a 14-year maximum follow-up, our right-censoring window means the most recent (2001–2002 birth) cohort had at most 4 years of post-senior observation. The replication finding across the two cohorts is strengthened by the differing follow-up windows; nonetheless, longer follow-up would allow us to distinguish</w:t>
      </w:r>
      <w:r>
        <w:t xml:space="preserve"> </w:t>
      </w:r>
      <w:r>
        <w:rPr>
          <w:i/>
          <w:iCs/>
        </w:rPr>
        <w:t xml:space="preserve">late dropouts</w:t>
      </w:r>
      <w:r>
        <w:t xml:space="preserve"> </w:t>
      </w:r>
      <w:r>
        <w:t xml:space="preserve">(athletes who continue competing into their early twenties but disengage by age 30) from genuine career athletes.</w:t>
      </w:r>
    </w:p>
    <w:bookmarkEnd w:id="72"/>
    <w:bookmarkStart w:id="73" w:name="future-directions"/>
    <w:p>
      <w:pPr>
        <w:pStyle w:val="Heading2"/>
      </w:pPr>
      <w:r>
        <w:t xml:space="preserve">4.6 Future directions</w:t>
      </w:r>
    </w:p>
    <w:p>
      <w:pPr>
        <w:pStyle w:val="FirstParagraph"/>
      </w:pPr>
      <w:r>
        <w:t xml:space="preserve">Three extensions deserve attention: linking the register-based behavioral signal to standard psychological instruments (e.g., SCQ-2) in currently active athletes; testing cross-sport generalization where registers are less complete; and quasi-experimental implementation of behavioral surveillance with federation-level outreach to athletes whose age-15 volume falls into the bottom quintile.</w:t>
      </w:r>
    </w:p>
    <w:bookmarkEnd w:id="73"/>
    <w:bookmarkStart w:id="74" w:name="conclusion"/>
    <w:p>
      <w:pPr>
        <w:pStyle w:val="Heading2"/>
      </w:pPr>
      <w:r>
        <w:t xml:space="preserve">4.7 Conclusion</w:t>
      </w:r>
    </w:p>
    <w:p>
      <w:pPr>
        <w:pStyle w:val="FirstParagraph"/>
      </w:pPr>
      <w:r>
        <w:t xml:space="preserve">In a complete-population 14-year follow-up of 2,123 Norwegian youth track-and-field athletes across two independent birth-year cohorts, dropout from competitive participation was predominantly a behavioral phenomenon detectable in register data years before formal exit. The findings quantify and corroborate three pre-existing theoretical accounts — the Sport Commitment Model, self-determination theory, and the withdrawal-as-process tradition — by providing the longitudinal behavioral test that each of those traditions has hitherto lacked. They also support a tractable retention strategy: behavioral surveillance — tracking competition volume rather than only competition performance — can identify athletes at high risk of disengagement during the qualification-milestone window, at lead times that make federation-level response feasible.</w:t>
      </w:r>
    </w:p>
    <w:p>
      <w:r>
        <w:pict>
          <v:rect style="width:0;height:1.5pt" o:hralign="center" o:hrstd="t" o:hr="t"/>
        </w:pict>
      </w:r>
    </w:p>
    <w:bookmarkEnd w:id="74"/>
    <w:bookmarkStart w:id="75"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(APA 7th edition format)</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Denzin, N. K. (2009).</w:t>
      </w:r>
      <w:r>
        <w:t xml:space="preserve"> </w:t>
      </w:r>
      <w:r>
        <w:rPr>
          <w:i/>
          <w:iCs/>
        </w:rPr>
        <w:t xml:space="preserve">The research act: A theoretical introduction to sociological methods</w:t>
      </w:r>
      <w:r>
        <w:t xml:space="preserve">. Aldine Transaction.</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2026-05-17T22:33:07Z</dcterms:created>
  <dcterms:modified xsi:type="dcterms:W3CDTF">2026-05-17T22:33:07Z</dcterms:modified>
</cp:coreProperties>
</file>

<file path=docProps/custom.xml><?xml version="1.0" encoding="utf-8"?>
<Properties xmlns="http://schemas.openxmlformats.org/officeDocument/2006/custom-properties" xmlns:vt="http://schemas.openxmlformats.org/officeDocument/2006/docPropsVTypes"/>
</file>