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S1–S7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 15–16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Trajectories diverge sharply from age 15.</w:t>
      </w:r>
    </w:p>
    <w:p>
      <w:r>
        <w:pict>
          <v:rect style="width:0;height:1.5pt" o:hralign="center" o:hrstd="t" o:hr="t"/>
        </w:pict>
      </w:r>
    </w:p>
    <w:bookmarkEnd w:id="10"/>
    <w:bookmarkStart w:id="11" w:name="X7d34bfa70e5826ca52b0a5ac69fbe0293f63528"/>
    <w:p>
      <w:pPr>
        <w:pStyle w:val="Heading2"/>
      </w:pPr>
      <w:r>
        <w:t xml:space="preserve">Table 3. Stepwise Cox proportional hazards models for time to dropout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[0.95, 1.14]</w:t>
            </w:r>
          </w:p>
        </w:tc>
        <w:tc>
          <w:tcPr/>
          <w:p>
            <w:pPr>
              <w:pStyle w:val="Compact"/>
            </w:pPr>
            <w:r>
              <w:t xml:space="preserve">.352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.052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.059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[0.93, 1.03]</w:t>
            </w:r>
          </w:p>
        </w:tc>
        <w:tc>
          <w:tcPr/>
          <w:p>
            <w:pPr>
              <w:pStyle w:val="Compact"/>
            </w:pPr>
            <w:r>
              <w:t xml:space="preserve">.455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M4: + Volume at milestone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[0.98, 1.20]</w:t>
            </w:r>
          </w:p>
        </w:tc>
        <w:tc>
          <w:tcPr/>
          <w:p>
            <w:pPr>
              <w:pStyle w:val="Compact"/>
            </w:pPr>
            <w:r>
              <w:t xml:space="preserve">.109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[0.99, 1.09]</w:t>
            </w:r>
          </w:p>
        </w:tc>
        <w:tc>
          <w:tcPr/>
          <w:p>
            <w:pPr>
              <w:pStyle w:val="Compact"/>
            </w:pPr>
            <w:r>
              <w:t xml:space="preserve">.169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1.00]</w:t>
            </w:r>
          </w:p>
        </w:tc>
        <w:tc>
          <w:tcPr/>
          <w:p>
            <w:pPr>
              <w:pStyle w:val="Compact"/>
            </w:pPr>
            <w:r>
              <w:t xml:space="preserve">.061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M5: + Championship types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[1.02, 1.24]</w:t>
            </w:r>
          </w:p>
        </w:tc>
        <w:tc>
          <w:tcPr/>
          <w:p>
            <w:pPr>
              <w:pStyle w:val="Compact"/>
            </w:pPr>
            <w:r>
              <w:t xml:space="preserve">.025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[1.00, 1.10]</w:t>
            </w:r>
          </w:p>
        </w:tc>
        <w:tc>
          <w:tcPr/>
          <w:p>
            <w:pPr>
              <w:pStyle w:val="Compact"/>
            </w:pPr>
            <w:r>
              <w:t xml:space="preserve">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1.01]</w:t>
            </w:r>
          </w:p>
        </w:tc>
        <w:tc>
          <w:tcPr/>
          <w:p>
            <w:pPr>
              <w:pStyle w:val="Compact"/>
            </w:pPr>
            <w:r>
              <w:t xml:space="preserve">.080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 (count, 0–4)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HRs are per one-SD increase for standardized covariates and per unit for the count of championship types. The volume-at-milestone covariate produces the largest single-step C-index gain (0.573 → 0.846). Schoenfeld residual tests detected proportional-hazards violations for vol_milepael, HHI early, and championship types; period-specific HRs are given in Table 4.</w:t>
      </w:r>
    </w:p>
    <w:p>
      <w:r>
        <w:pict>
          <v:rect style="width:0;height:1.5pt" o:hralign="center" o:hrstd="t" o:hr="t"/>
        </w:pict>
      </w:r>
    </w:p>
    <w:bookmarkEnd w:id="11"/>
    <w:bookmarkStart w:id="12" w:name="Xbfe3faf40cf76853f84917063d5bd4f677a1b97"/>
    <w:p>
      <w:pPr>
        <w:pStyle w:val="Heading2"/>
      </w:pPr>
      <w:r>
        <w:t xml:space="preserve">Table 4. Time-varying hazard ratios across follow-up periods (full Cox model,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dominant predictor — competition volume at age 15–16 — is highly protective in the first three years after baseline (when most dropout occurs), moderately protective in years 3–6 (the transition to junior age), and indistinguishable from null in years 6+ (athletes who have survived the junior transition). This pattern is consistent with the substantive interpretation that the behavioral signal predicts proximal disengagement.</w:t>
      </w:r>
    </w:p>
    <w:p>
      <w:r>
        <w:pict>
          <v:rect style="width:0;height:1.5pt" o:hralign="center" o:hrstd="t" o:hr="t"/>
        </w:pict>
      </w:r>
    </w:p>
    <w:bookmarkEnd w:id="12"/>
    <w:bookmarkStart w:id="13" w:name="X7179511b496541910b17174e835dfc576fb99f6"/>
    <w:p>
      <w:pPr>
        <w:pStyle w:val="Heading2"/>
      </w:pPr>
      <w:r>
        <w:t xml:space="preserve">Table 5.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Importances sum to 1.0 across all 22 features. Volume-based features dominate the top six positions.</w:t>
      </w:r>
    </w:p>
    <w:p>
      <w:r>
        <w:pict>
          <v:rect style="width:0;height:1.5pt" o:hralign="center" o:hrstd="t" o:hr="t"/>
        </w:pict>
      </w:r>
    </w:p>
    <w:bookmarkEnd w:id="13"/>
    <w:bookmarkStart w:id="14" w:name="X0e6538da0bbd50a16933b5f49a36017bec277f7"/>
    <w:p>
      <w:pPr>
        <w:pStyle w:val="Heading2"/>
      </w:pPr>
      <w:r>
        <w:t xml:space="preserve">Table 6.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</w:t>
            </w:r>
            <w:r>
              <w:t xml:space="preserve"> </w:t>
            </w:r>
            <w:r>
              <w:t xml:space="preserve">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AUC is mean ± SD across 5-fold stratified cross-validation. Behavioral volume indicators (Volume-only) achieve performance close to the full predictor set.</w:t>
      </w:r>
    </w:p>
    <w:p>
      <w:r>
        <w:pict>
          <v:rect style="width:0;height:1.5pt" o:hralign="center" o:hrstd="t" o:hr="t"/>
        </w:pict>
      </w:r>
    </w:p>
    <w:bookmarkEnd w:id="14"/>
    <w:bookmarkStart w:id="15" w:name="X1b567785133ca62f4b74fa1df86e694c66837dd"/>
    <w:p>
      <w:pPr>
        <w:pStyle w:val="Heading2"/>
      </w:pPr>
      <w:r>
        <w:t xml:space="preserve">Table 7. Cross-cohort replication: full Cox model fit separately in each birth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[1.05, 1.35]</w:t>
            </w:r>
          </w:p>
        </w:tc>
        <w:tc>
          <w:tcPr/>
          <w:p>
            <w:pPr>
              <w:pStyle w:val="Compact"/>
            </w:pPr>
            <w:r>
              <w:t xml:space="preserve">.006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1.10]</w:t>
            </w:r>
          </w:p>
        </w:tc>
        <w:tc>
          <w:tcPr/>
          <w:p>
            <w:pPr>
              <w:pStyle w:val="Compact"/>
            </w:pPr>
            <w:r>
              <w:t xml:space="preserve">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[0.94, 1.07]</w:t>
            </w:r>
          </w:p>
        </w:tc>
        <w:tc>
          <w:tcPr/>
          <w:p>
            <w:pPr>
              <w:pStyle w:val="Compact"/>
            </w:pPr>
            <w:r>
              <w:t xml:space="preserve">.966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[0.44, 0.55]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[0.65, 0.78]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[0.86, 1.21]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[1.00, 1.19]</w:t>
            </w:r>
          </w:p>
        </w:tc>
        <w:tc>
          <w:tcPr/>
          <w:p>
            <w:pPr>
              <w:pStyle w:val="Compact"/>
            </w:pPr>
            <w:r>
              <w:t xml:space="preserve">.047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[0.80, 0.96]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[0.31, 0.43]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[0.68,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volume-at-milestone effect replicates in both cohorts at similar magnitude and direction; HHI early (specialization) is significant in Cohort B but not Cohort A; the sex effect is significant in Cohort A but not Cohort B.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supplementary-tables"/>
    <w:p>
      <w:pPr>
        <w:pStyle w:val="Heading1"/>
      </w:pPr>
      <w:r>
        <w:t xml:space="preserve">Supplementary Tables</w:t>
      </w:r>
    </w:p>
    <w:bookmarkStart w:id="17" w:name="X69049062199ed7b59abddc124a6723c5caf8be2"/>
    <w:p>
      <w:pPr>
        <w:pStyle w:val="Heading2"/>
      </w:pPr>
      <w:r>
        <w:t xml:space="preserve">Table S1. Proportional-hazards assumption test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c5dd1c4c02026840d5c61b2f77d535f234f96d0"/>
    <w:p>
      <w:pPr>
        <w:pStyle w:val="Heading2"/>
      </w:pPr>
      <w:r>
        <w:t xml:space="preserve">Table S7. Subgroup analysis by sex (full Cox model)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Effect directions and magnitudes are concordant across sexes; C-index = 0.843 in both subgroups.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2026-05-17T22:33:08Z</dcterms:created>
  <dcterms:modified xsi:type="dcterms:W3CDTF">2026-05-17T22:33:08Z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