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unchanged by structural controls and club random effects, and replicated across two adjacent birth cohorts. Exit-aligned trajectories showed that withdrawal was gradual for most athletes: median volume fell 12 → 10 → 9 → 4 meets across dropouts’ last four seasons, 74%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 (Eime et al., 2013) — benefits that presuppose that young people stay involved. Attrition from organized competition during adolescence is substantial across countries and sports (Crane &amp; Temple, 2015), and track and field is no exception: in a 25-year Norwegian follow-up, roughly 82% of promising track and field athletes identified in adolescence had left the sport within 14 years (Enoksen, 2011), 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 (2024), 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 (Eliasson &amp; Johansson, 2021), so some form of decline over a period of time should be expected. The Sport Commitment Model (Scanlan et al., 1993, 2016) describes how the desire and resolve to continue are shaped by enjoyment, personal investments, involvement opportunities, attractive alternatives, and social constraints; Kretchmar’s (2000) 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 (2021) applied Ebaugh’s (1988) 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 (Espedalen &amp; Seippel, 2024).</w:t>
      </w:r>
    </w:p>
    <w:p>
      <w:pPr>
        <w:pStyle w:val="BodyText"/>
      </w:pPr>
      <w:r>
        <w:t xml:space="preserve">Groups of athletes also appear to differ in how they respond when competitive demands increase. Norwegian participation research documents strong variation in involvement: training investment varies widely among youth participants (Bakken, 2019), and a significant minority hold</w:t>
      </w:r>
      <w:r>
        <w:t xml:space="preserve"> </w:t>
      </w:r>
      <w:r>
        <w:t xml:space="preserve">“heavy”</w:t>
      </w:r>
      <w:r>
        <w:t xml:space="preserve"> </w:t>
      </w:r>
      <w:r>
        <w:t xml:space="preserve">involvement motives grounded in intense love of the game or career pursuits, while the larger group appreciate</w:t>
      </w:r>
      <w:r>
        <w:t xml:space="preserve"> </w:t>
      </w:r>
      <w:r>
        <w:t xml:space="preserve">“lighter”</w:t>
      </w:r>
      <w:r>
        <w:t xml:space="preserve"> </w:t>
      </w:r>
      <w:r>
        <w:t xml:space="preserve">involvement built on fun, exercise, and belonging — quitting more readily when sport becomes too demanding alongside everything else in their lives (Espedalen, 2025). The Sport Commitment Model’s distinction between enthusiastic and constrained commitment gives such divergent responses a theoretical basis (Scanlan et al., 2016). 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 (Wall &amp; Côté, 2007). 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 (Eime et al., 2013), and the hypothesized timescale (1–3 years) exceeds most prospective follow-up windows — Sarrazin et al.’s (2002) 21-month handball study is unusually long and still does not bridge the adolescent-to-junior transition. A separate quantitative tradition studies correlates of dropout and development — relative age effects (Cobley et al., 2009), specialization (DiFiori et al., 2014; Jayanthi et al., 2015; Côté &amp; Hancock, 2016; Güllich et al., 2022) — and studies of proximal psychological constructs such as burnout, motivation, and peer relations (Kuokkanen et al., 2026; Worley &amp; Smith, 2026; Zhong et al., 2026); prospective predictors of adolescent team-sport dropout have been meta-analyzed (Back et al., 2022), and in athletics, rankings databases have been used to study</w:t>
      </w:r>
      <w:r>
        <w:t xml:space="preserve"> </w:t>
      </w:r>
      <w:r>
        <w:rPr>
          <w:i/>
          <w:iCs/>
        </w:rPr>
        <w:t xml:space="preserve">performance</w:t>
      </w:r>
      <w:r>
        <w:t xml:space="preserve"> </w:t>
      </w:r>
      <w:r>
        <w:t xml:space="preserve">trajectories across the youth-to-senior transition (Kearney &amp; Hayes, 2018). 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 (Ebaugh, 1988; Eliasson &amp; Johansson, 2021) and because heavily and lightly involved participants are expected to respond differently to rising competitive demands (Espedalen, 2025; Scanlan et al., 2016), 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 (Scanlan et al., 1993, 2016), 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 (von Elm et al., 2007).</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 (Norges Friidrettsforbund, 2026). (The exception — occasional invitational regional-team matches for 14–15-year-olds — does not gate ordinary competition.) Athletes — together with their families — decide which meets and events to enter, entry fees are ordinarily paid by the athlete’s club rather than by the family, participation is actively encouraged by clubs and the federation, and travel distances to ordinary meets are typically short. The first genuinely selective competition an athlete encounters is the national youth championship (Ungdomsmesterskapet, UM), which athletes may enter in the calendar year they turn 15 and which applies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in the cohort regardless of any subsequent transfer between clubs, so a change of club does not register as dropout; such transfers were common (27.8% of athletes recorded results for two or more clubs during follow-up).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 time to last active season (calendar year with ≥2 results), right-censoring athletes active in 2024+ — supports Kaplan–Meier visualization and Cox sensitivity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 (Norges Friidrettsforbund, 2024): a published table gives, per event × sex × age, a reference performance worth 1,000 points and a per-unit quotient (values capped at 1,500 to suppress data-entry errors). We computed tyrving_best (baseline maximum), tyrving_peak_pre15, per-age scores (yielding a baseline performance trajectory, age-14 minus age-13), and tyrving_slope_13_16.</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it avoids the measurement overlap that would arise because an athlete who drops out before age 15 has milestone-window volume of zero by construction.</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 (Cox, 1972), with a baseline-only primary specification (Supplementary Table S16), a landmark analysis among athletes active at age 16 (van Houwelingen, 2007), and a post-baseline specification interpreted with overlap caveats (Supplementary Table S8; Table 5). Proportional-hazards checks, E-values (VanderWeele &amp; Ding, 2017), 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shows the design could detect hazard ratios ≥1.07 and odds ratios ≥1.20 per SD — well below effect sizes typical of prior dropout research (Back et al., 2022). 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 (Davidson-Pilon, 2019) and scikit-learn (Pedregosa et al., 2011); figures used matplotlib (Hunter, 2007). Analysis code will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 (Heidari et al., 2016), 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half the cohort ceased active competition within 3 years, 75% within 5, steepest at age 17 —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the variance in pre-milestone volume lies between clubs (ICC = 0.25 across 277 clubs), but the effect is not a club-supply artifact: with club random intercepts the coefficient was, if anything, larger (OR = 2.58, 95% CI [2.27, 2.93]; Supplementary Table S22) — the association holds when comparing athletes within the same club.</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The baseline-start Cox model with post-baseline covariates is not a primary estimate (predictor and at-risk window overlap); its contamination-free analogue is the change model in Section 3.5.</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the high PPV partly reflects the 84% non-retention base rate (a ~10-point precision gain over base-rate prediction), and NPV = 0.20 means unflagged athletes are</w:t>
      </w:r>
      <w:r>
        <w:t xml:space="preserve"> </w:t>
      </w:r>
      <w:r>
        <w:rPr>
          <w:i/>
          <w:iCs/>
        </w:rPr>
        <w:t xml:space="preserve">not</w:t>
      </w:r>
      <w:r>
        <w:t xml:space="preserve"> </w:t>
      </w:r>
      <w:r>
        <w:t xml:space="preserve">“safe”</w:t>
      </w:r>
      <w:r>
        <w:t xml:space="preserve"> </w:t>
      </w:r>
      <w:r>
        <w:t xml:space="preserve">— roughly four in five of them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the reciprocal of the result count — few results force apparent concentration —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 On the primary specification, the effect was robust to outcome definition (OR = 2.29, 2.40, 2.26 across the three definitions; Supplementary Table S9), to the fixed-window outcome (ages 20–22: OR = 2.43; Supplementary Table S24), to multiple imputation (OR = 2.35, 95% CI [2.08, 2.67];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 (Espedalen &amp; Seippel, 2024);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 Enoksen, 2011), 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46"/>
    <w:bookmarkStart w:id="47"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 (Wall &amp; Côté, 2007).</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 (Scanlan et al., 1993, 2016), 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 (Raedeke, 1997). Declining volume years before exit fits an eroding commitment balance, though the register cannot distinguish waning enthusiasm from accumulating constraint. Withdrawal-as-process accounts (Ebaugh, 1988; Eliasson &amp; Johansson, 2021) 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register cannot separate the two, and the reallocation share is unbounded in our data. Norwegian participation research is compatible with both: involvement is strongly stratified, from heavy to light (Bakken, 2019; Espedalen, 2025), and exit from organized sport can itself reclaim time and autonomy rather than mark a loss (Espedalen, 2025). 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0.61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0.42) and females (HR = 0.46),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 (Bakken, 2019) and the clearly higher female attrition in Enoksen’s (2011) 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primarily concerns diversification</w:t>
      </w:r>
      <w:r>
        <w:t xml:space="preserve"> </w:t>
      </w:r>
      <w:r>
        <w:rPr>
          <w:i/>
          <w:iCs/>
        </w:rPr>
        <w:t xml:space="preserve">across sports</w:t>
      </w:r>
      <w:r>
        <w:t xml:space="preserve"> </w:t>
      </w:r>
      <w:r>
        <w:t xml:space="preserve">— multisport sampling versus early single-sport specialization and its consequences for elite performance and athlete health (Côté &amp; Hancock, 2016; Güllich et al., 2022). 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 (Larson et al., 2019), and blanket condemnation of early specialization has been argued to outrun the evidence (Baker et al., 2021) —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into surveys,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 (Scanlan et al., 1993, 2016). 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 (Enoksen, 2011), 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FirstParagraph"/>
      </w:pPr>
      <w:r>
        <w:t xml:space="preserve">(APA 7th edition format)</w:t>
      </w:r>
    </w:p>
    <w:p>
      <w:pPr>
        <w:pStyle w:val="BodyText"/>
      </w:pPr>
      <w:r>
        <w:t xml:space="preserve">Baker, J., Mosher, A., &amp; Fraser-Thomas, J. (2021). Is it too early to condemn early sport specialisation?</w:t>
      </w:r>
      <w:r>
        <w:t xml:space="preserve"> </w:t>
      </w:r>
      <w:r>
        <w:rPr>
          <w:i/>
          <w:iCs/>
        </w:rPr>
        <w:t xml:space="preserve">British Journal of Sports Medicine, 55</w:t>
      </w:r>
      <w:r>
        <w:t xml:space="preserve">(3), 179–180. https://doi.org/10.1136/bjsports-2020-102053</w:t>
      </w:r>
    </w:p>
    <w:p>
      <w:pPr>
        <w:pStyle w:val="BodyText"/>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 https://doi.org/10.1016/j.psychsport.2022.102205</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Battaglia, A., Kerr, G., &amp; Tamminen, K. (2024). The dropout from youth sport crisis: Not as simple as it appears.</w:t>
      </w:r>
      <w:r>
        <w:t xml:space="preserve"> </w:t>
      </w:r>
      <w:r>
        <w:rPr>
          <w:i/>
          <w:iCs/>
        </w:rPr>
        <w:t xml:space="preserve">Kinesiology Review, 13</w:t>
      </w:r>
      <w:r>
        <w:t xml:space="preserve">(3), 345–356. https://doi.org/10.1123/kr.2023-0024</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(2019). lifelines: Survival analysis in Python.</w:t>
      </w:r>
      <w:r>
        <w:t xml:space="preserve"> </w:t>
      </w:r>
      <w:r>
        <w:rPr>
          <w:i/>
          <w:iCs/>
        </w:rPr>
        <w:t xml:space="preserve">Journal of Open Source Software, 4</w:t>
      </w:r>
      <w:r>
        <w:t xml:space="preserve">(40), Article 1317. https://doi.org/10.21105/joss.01317</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Enoksen, E. (2011). Drop-out rate and drop-out reasons among promising Norwegian track and field athletes: A 25 year study.</w:t>
      </w:r>
      <w:r>
        <w:t xml:space="preserve"> </w:t>
      </w:r>
      <w:r>
        <w:rPr>
          <w:i/>
          <w:iCs/>
        </w:rPr>
        <w:t xml:space="preserve">Scandinavian Sport Studies Forum, 2</w:t>
      </w:r>
      <w:r>
        <w:t xml:space="preserve">, 19–43.</w:t>
      </w:r>
    </w:p>
    <w:p>
      <w:pPr>
        <w:pStyle w:val="BodyText"/>
      </w:pPr>
      <w:r>
        <w:t xml:space="preserve">Espedalen, L. E. (2025).</w:t>
      </w:r>
      <w:r>
        <w:t xml:space="preserve"> </w:t>
      </w:r>
      <w:r>
        <w:rPr>
          <w:i/>
          <w:iCs/>
        </w:rPr>
        <w:t xml:space="preserve">Organized sport in the lives of young Norwegians: Participation, exit, and social inequality</w:t>
      </w:r>
      <w:r>
        <w:t xml:space="preserve"> </w:t>
      </w:r>
      <w:r>
        <w:t xml:space="preserve">[Doctoral dissertation, Norwegian School of Sport Sciences].</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Kearney, P. E., &amp; Hayes, P. R. (2018). Excelling at youth level in competitive track and field athletics is not a prerequisite for later success.</w:t>
      </w:r>
      <w:r>
        <w:t xml:space="preserve"> </w:t>
      </w:r>
      <w:r>
        <w:rPr>
          <w:i/>
          <w:iCs/>
        </w:rPr>
        <w:t xml:space="preserve">Journal of Sports Sciences, 36</w:t>
      </w:r>
      <w:r>
        <w:t xml:space="preserve">(21), 2502–2509. https://doi.org/10.1080/02640414.2018.1465724</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Larson, H. K., Young, B. W., McHugh, T.-L. F., &amp; Rodgers, W. M. (2019). Markers of early specialization and their relationships with burnout and dropout in swimming.</w:t>
      </w:r>
      <w:r>
        <w:t xml:space="preserve"> </w:t>
      </w:r>
      <w:r>
        <w:rPr>
          <w:i/>
          <w:iCs/>
        </w:rPr>
        <w:t xml:space="preserve">Journal of Sport and Exercise Psychology, 41</w:t>
      </w:r>
      <w:r>
        <w:t xml:space="preserve">(1), 46–54. https://doi.org/10.1123/jsep.2018-0305</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https://www.friidrett.no/arrangement/arrangementshjelp/poengtabeller/tyrvingtabellen/</w:t>
      </w:r>
    </w:p>
    <w:p>
      <w:pPr>
        <w:pStyle w:val="BodyText"/>
      </w:pPr>
      <w:r>
        <w:t xml:space="preserve">Norges Friidrettsforbund. (2026).</w:t>
      </w:r>
      <w:r>
        <w:t xml:space="preserve"> </w:t>
      </w:r>
      <w:r>
        <w:rPr>
          <w:i/>
          <w:iCs/>
        </w:rPr>
        <w:t xml:space="preserve">Konkurranseregler og bestemmelser</w:t>
      </w:r>
      <w:r>
        <w:t xml:space="preserve"> </w:t>
      </w:r>
      <w:r>
        <w:t xml:space="preserve">[Competition rules and regulations]. https://www.friidrett.no/lover-og-regler/</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Raedeke, T. D. (1997). Is athlete burnout more than just stress? A sport commitment perspective.</w:t>
      </w:r>
      <w:r>
        <w:t xml:space="preserve"> </w:t>
      </w:r>
      <w:r>
        <w:rPr>
          <w:i/>
          <w:iCs/>
        </w:rPr>
        <w:t xml:space="preserve">Journal of Sport &amp; Exercise Psychology, 19</w:t>
      </w:r>
      <w:r>
        <w:t xml:space="preserve">(4), 396–417. https://doi.org/10.1123/jsep.19.4.396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2026-08-25T14:38:33Z</dcterms:created>
  <dcterms:modified xsi:type="dcterms:W3CDTF">2026-08-25T14:38:33Z</dcterms:modified>
</cp:coreProperties>
</file>

<file path=docProps/custom.xml><?xml version="1.0" encoding="utf-8"?>
<Properties xmlns="http://schemas.openxmlformats.org/officeDocument/2006/custom-properties" xmlns:vt="http://schemas.openxmlformats.org/officeDocument/2006/docPropsVTypes"/>
</file>