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gure-captions"/>
    <w:p>
      <w:pPr>
        <w:pStyle w:val="Heading1"/>
      </w:pPr>
      <w:r>
        <w:t xml:space="preserve">Figure captions</w:t>
      </w:r>
    </w:p>
    <w:p>
      <w:pPr>
        <w:pStyle w:val="FirstParagraph"/>
      </w:pPr>
      <w:r>
        <w:t xml:space="preserve">(Each figure is submitted as a separate PNG file; captions are listed here for the manuscript.)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A behavioral-marker model of youth-sport disengagement. The diagram shows the relationship being tested: theoretical mechanisms hypothesized by the Sport Commitment Model, self-determination theory, and the role-exit / withdrawal-as-process tradition (left) are not directly observed, but are predicted to leave a footprint in measurable competition behavior (centre), which precedes the outcome of active senior retention (right).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Competition volume trajectory by senior-retention status. Median competitions per year (with interquartile range as shaded band) plotted by athlete age (13–18), separately for athletes who retained active senior status (≥2 results in any year at age ≥20; n = 348) and those who did not (n = 1,775). The dashed vertical line at age 15 marks the first qualification milestone (Norwegian Youth Championships). Future retainers and future dropouts already differ at ages 13–14; the gap widens further across the age-14-to-15 transition.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Kaplan–Meier retention curves stratified by total competition volume across ages 15 and 16 (descriptive). Strata are: 0 meets, 1–5 meets, 6–15 meets, 16–30 meets, and 31+ meets. Athletes in the highest stratum retained 71% senior activity at follow-up year 14; athletes in the lowest stratum retained 4%. (Note: this descriptive stratification uses post-baseline measurement; primary effect estimates in Table 3 use only baseline-window predictors.)</w:t>
      </w:r>
    </w:p>
    <w:p>
      <w:r>
        <w:pict>
          <v:rect style="width:0;height:1.5pt" o:hralign="center" o:hrstd="t" o:hr="t"/>
        </w:pict>
      </w:r>
    </w:p>
    <w:bookmarkEnd w:id="9"/>
    <w:bookmarkStart w:id="10" w:name="supplementary-figure-captions"/>
    <w:p>
      <w:pPr>
        <w:pStyle w:val="Heading1"/>
      </w:pPr>
      <w:r>
        <w:t xml:space="preserve">Supplementary figure captions</w:t>
      </w:r>
    </w:p>
    <w:p>
      <w:pPr>
        <w:pStyle w:val="FirstParagraph"/>
      </w:pPr>
      <w:r>
        <w:rPr>
          <w:b/>
          <w:bCs/>
        </w:rPr>
        <w:t xml:space="preserve">Figure S0.</w:t>
      </w:r>
      <w:r>
        <w:t xml:space="preserve"> </w:t>
      </w:r>
      <w:r>
        <w:t xml:space="preserve">Cohort construction flow diagram. Boundary birth years 1997 and 2003 were excluded because they had only one possible eligible edition in the cohort window. Athletes who attended both the 13-year-old and 14-year-old editions were deduplicated, with the earlier edition used as baseline. Complete-case analysis used 1,704 of 2,123 athletes; missingness was driven mainly by the Tyrving score (~20% missing) and the HHI index (~10% missing).</w:t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Calibration plot for the full Cox model. Predicted probability of senior retention is binned into deciles (x-axis); the y-axis shows the observed proportion retained in each decile. Points falling on the diagonal indicate perfect calibration.</w:t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Random forest variable importances (top 15) for predicting active senior status. Bars show the mean decrease in Gini impurity across 500 trees. Volume-based features dominate the top six positions; sex enters near the bottom. Reported as convergent non-parametric evidence.</w:t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Kaplan–Meier retention curves: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overall retention from baseline (age 13/14);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retention stratified by sex. Log-rank test for sex difference: χ² = 0.95, p = 0.33.</w:t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Kaplan–Meier retention curves stratified by the number of championship types entered before age 17 (range 0–4, comprising regional, youth-national, junior-national, and senior-national championships). Retention is strongly monotonic in number of championship types.</w:t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Time-varying hazard ratios from the secondary (post-baseline) Cox specification across three follow-up periods (years 0–3, 3–6, 6+ post-baseline). Hazard ratios are per-SD for standardized covariates and per-unit for championship types and female. Note: the early-window HR for ages-15–16 volume partly reflects operational overlap between predictor and outcome (low milestone volume is mechanical for athletes who drop out before age 15); this estimate is descriptive of the time-varying association rather than an independent prospective effect.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2026-05-18T14:58:41Z</dcterms:created>
  <dcterms:modified xsi:type="dcterms:W3CDTF">2026-05-18T14:58:41Z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