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Competition volume at age 15-16 predicts senior retention better than performance.</w:t>
      </w:r>
    </w:p>
    <w:p>
      <w:pPr>
        <w:numPr>
          <w:ilvl w:val="0"/>
          <w:numId w:val="1001"/>
        </w:numPr>
      </w:pPr>
      <w:r>
        <w:t xml:space="preserve">Future dropouts visibly reduce participation 2-3 years before formal exit.</w:t>
      </w:r>
    </w:p>
    <w:p>
      <w:pPr>
        <w:numPr>
          <w:ilvl w:val="0"/>
          <w:numId w:val="1001"/>
        </w:numPr>
      </w:pPr>
      <w:r>
        <w:t xml:space="preserve">Two independent birth cohorts (N=2,123) yield concordant behavioral patterns.</w:t>
      </w:r>
    </w:p>
    <w:p>
      <w:pPr>
        <w:numPr>
          <w:ilvl w:val="0"/>
          <w:numId w:val="1001"/>
        </w:numPr>
      </w:pPr>
      <w:r>
        <w:t xml:space="preserve">Early-adolescent volume alone classifies senior retention at AUC = 0.82.</w:t>
      </w:r>
    </w:p>
    <w:p>
      <w:pPr>
        <w:numPr>
          <w:ilvl w:val="0"/>
          <w:numId w:val="1001"/>
        </w:numPr>
      </w:pPr>
      <w:r>
        <w:t xml:space="preserve">Findings are consistent with qualitative accounts of dropout as a process.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2026-05-18T14:58:42Z</dcterms:created>
  <dcterms:modified xsi:type="dcterms:W3CDTF">2026-05-18T14:58:42Z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