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unchanged by structural controls and club random effects, and replicated across two adjacent birth cohorts. Exit-aligned trajectories showed that withdrawal was gradual for most athletes: median volume fell 12 → 10 → 9 → 4 meets across dropouts’ last four seasons, 74%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 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cost-related reasons cited more often by youth from lower-income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stratification of ambition and investment among youth participants — a minority train and compete with long-term aspirations, while a larger group take part for enjoyment and belonging and more readily reprioritize when sport becomes demanding</w:t>
      </w:r>
      <w:r>
        <w:rPr>
          <w:vertAlign w:val="superscript"/>
        </w:rPr>
        <w:t xml:space="preserve">11</w:t>
      </w:r>
      <w:r>
        <w:t xml:space="preserve"> </w:t>
      </w:r>
      <w:r>
        <w:t xml:space="preserve">— and the Sport Commitment Model’s distinction between enthusiastic and constrained commitment predicts exactly such divergent responses to rising demands.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w:t>
      </w:r>
      <w:r>
        <w:rPr>
          <w:vertAlign w:val="superscript"/>
        </w:rPr>
        <w:t xml:space="preserve">12</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 Sarrazin et al.’s</w:t>
      </w:r>
      <w:r>
        <w:rPr>
          <w:vertAlign w:val="superscript"/>
        </w:rPr>
        <w:t xml:space="preserve">13</w:t>
      </w:r>
      <w:r>
        <w:t xml:space="preserve"> </w:t>
      </w:r>
      <w:r>
        <w:t xml:space="preserve">21-month handball study is unusually long and still does not bridge the adolescent-to-junior transition. A separate quantitative tradition studies correlates of dropout and development — relative age effects,</w:t>
      </w:r>
      <w:r>
        <w:rPr>
          <w:vertAlign w:val="superscript"/>
        </w:rPr>
        <w:t xml:space="preserve">14</w:t>
      </w:r>
      <w:r>
        <w:t xml:space="preserve"> </w:t>
      </w:r>
      <w:r>
        <w:t xml:space="preserve">specialization</w:t>
      </w:r>
      <w:r>
        <w:rPr>
          <w:vertAlign w:val="superscript"/>
        </w:rPr>
        <w:t xml:space="preserve">15–18</w:t>
      </w:r>
      <w:r>
        <w:t xml:space="preserve"> </w:t>
      </w:r>
      <w:r>
        <w:t xml:space="preserve">— and short longitudinal designs measuring proximal psychological constructs</w:t>
      </w:r>
      <w:r>
        <w:rPr>
          <w:vertAlign w:val="superscript"/>
        </w:rPr>
        <w:t xml:space="preserve">19–21</w:t>
      </w:r>
      <w:r>
        <w:t xml:space="preserve">; prospective psychosocial predictors of adolescent dropout have been meta-analyzed,</w:t>
      </w:r>
      <w:r>
        <w:rPr>
          <w:vertAlign w:val="superscript"/>
        </w:rPr>
        <w:t xml:space="preserve">22</w:t>
      </w:r>
      <w:r>
        <w:t xml:space="preserve"> </w:t>
      </w:r>
      <w:r>
        <w:t xml:space="preserve">and in athletics, registers and rankings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23</w:t>
      </w:r>
      <w:r>
        <w:t xml:space="preserve"> </w:t>
      </w:r>
      <w:r>
        <w:t xml:space="preserve">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more and less committed participants are expected to respond differently to rising competitive demands,</w:t>
      </w:r>
      <w:r>
        <w:rPr>
          <w:vertAlign w:val="superscript"/>
        </w:rPr>
        <w:t xml:space="preserve">7,11</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24</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25</w:t>
      </w:r>
      <w:r>
        <w:t xml:space="preserve"> </w:t>
      </w:r>
      <w:r>
        <w:t xml:space="preserve">(The exception — occasional invitational regional-team matches for 14–15-year-olds — does not gate ordinary competition.) Athletes — together with their families — decide which meets and events to enter, entry fees are ordinarily paid by the athlete’s club rather than by the family, participation is actively encouraged by clubs and the federation, and travel distances to ordinary meets are typically short. The first genuinely selective competition an athlete encounters is the national youth championship (Ungdomsmesterskapet, UM), which athletes may enter in the calendar year they turn 15 and which applies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mid, and western Norway (northern Norway is not represented). Athletes were 13–14 and entered through their club with no qualifying threshold; disengagement trajectories therefore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in the cohort regardless of any subsequent transfer between clubs, so a change of club does not register as dropout; such transfers were common (27.8% of athletes recorded results for two or more clubs during follow-up).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 time to last active season (calendar year with ≥2 results), right-censoring athletes active in 2024+ — supports Kaplan–Meier visualization and Cox sensitivity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26</w:t>
      </w:r>
      <w:r>
        <w:t xml:space="preserve">: a published table gives, per event × sex × age, a reference performance worth 1,000 points and a per-unit quotient (values capped at 1,500 to suppress data-entry errors). We computed tyrving_best (baseline maximum), tyrving_peak_pre15, per-age scores (yielding a baseline performance trajectory, age-14 minus age-13), and tyrving_slope_13_16.</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it avoids the measurement overlap that would arise because an athlete who drops out before age 15 has milestone-window volume of zero by construction.</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rPr>
          <w:vertAlign w:val="superscript"/>
        </w:rPr>
        <w:t xml:space="preserve">27</w:t>
      </w:r>
      <w:r>
        <w:t xml:space="preserve"> </w:t>
      </w:r>
      <w:r>
        <w:t xml:space="preserve">with a baseline-only primary specification (Supplementary Table S16), a landmark analysis among athletes active at age 16,</w:t>
      </w:r>
      <w:r>
        <w:rPr>
          <w:vertAlign w:val="superscript"/>
        </w:rPr>
        <w:t xml:space="preserve">28</w:t>
      </w:r>
      <w:r>
        <w:t xml:space="preserve"> </w:t>
      </w:r>
      <w:r>
        <w:t xml:space="preserve">and a post-baseline specification interpreted with overlap caveats (Supplementary Table S8; Table 5). Proportional-hazards checks, E-values,</w:t>
      </w:r>
      <w:r>
        <w:rPr>
          <w:vertAlign w:val="superscript"/>
        </w:rPr>
        <w:t xml:space="preserve">29</w:t>
      </w:r>
      <w:r>
        <w:t xml:space="preserve"> </w:t>
      </w:r>
      <w:r>
        <w:t xml:space="preserve">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shows the design could detect hazard ratios ≥1.07 and odds ratios ≥1.20 per SD — well below effect sizes typical of prior dropout research.</w:t>
      </w:r>
      <w:r>
        <w:rPr>
          <w:vertAlign w:val="superscript"/>
        </w:rPr>
        <w:t xml:space="preserve">22</w:t>
      </w:r>
      <w:r>
        <w:t xml:space="preserve"> </w:t>
      </w:r>
      <w:r>
        <w:t xml:space="preserve">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30</w:t>
      </w:r>
      <w:r>
        <w:t xml:space="preserve"> </w:t>
      </w:r>
      <w:r>
        <w:t xml:space="preserve">and scikit-learn</w:t>
      </w:r>
      <w:r>
        <w:rPr>
          <w:vertAlign w:val="superscript"/>
        </w:rPr>
        <w:t xml:space="preserve">31</w:t>
      </w:r>
      <w:r>
        <w:t xml:space="preserve">; figures used matplotlib.</w:t>
      </w:r>
      <w:r>
        <w:rPr>
          <w:vertAlign w:val="superscript"/>
        </w:rPr>
        <w:t xml:space="preserve">32</w:t>
      </w:r>
      <w:r>
        <w:t xml:space="preserve"> </w:t>
      </w:r>
      <w:r>
        <w:t xml:space="preserve">Analysis code will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33</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half the cohort ceased active competition within 3 years, 75% within 5, steepest at age 17 —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the variance in pre-milestone volume lies between clubs (ICC = 0.25 across 277 clubs), but the effect is not a club-supply artifact: with club random intercepts the coefficient was, if anything, larger (OR = 2.58, 95% CI [2.27, 2.93]; Supplementary Table S22) — the association holds when comparing athletes within the same club.</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The baseline-start Cox model with post-baseline covariates is not a primary estimate (predictor and at-risk window overlap); its contamination-free analogue is the change model in Section 3.5.</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the high PPV partly reflects the 84% non-retention base rate (a ~10-point precision gain over base-rate prediction), and NPV = 0.20 means unflagged athletes are</w:t>
      </w:r>
      <w:r>
        <w:t xml:space="preserve"> </w:t>
      </w:r>
      <w:r>
        <w:rPr>
          <w:i/>
          <w:iCs/>
        </w:rPr>
        <w:t xml:space="preserve">not</w:t>
      </w:r>
      <w:r>
        <w:t xml:space="preserve"> </w:t>
      </w:r>
      <w:r>
        <w:t xml:space="preserve">“safe”</w:t>
      </w:r>
      <w:r>
        <w:t xml:space="preserve"> </w:t>
      </w:r>
      <w:r>
        <w:t xml:space="preserve">— roughly four in five of them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the reciprocal of the result count — few results force apparent concentration —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 On the primary specification, the effect was robust to outcome definition (OR = 2.29, 2.40, 2.26 across the three definitions; Supplementary Table S9), to the fixed-window outcome (ages 20–22: OR = 2.43; Supplementary Table S24), to multiple imputation (OR = 2.35, 95% CI [2.08, 2.67];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cost-related reasons for leaving are cited more often by Norwegian youth from lower-income families</w:t>
      </w:r>
      <w:r>
        <w:rPr>
          <w:vertAlign w:val="superscript"/>
        </w:rPr>
        <w:t xml:space="preserve">10</w:t>
      </w:r>
      <w:r>
        <w:t xml:space="preserve">;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 dropout reason in the only long-term Norwegian track-and-field follow-up (24.3%)</w:t>
      </w:r>
      <w:r>
        <w:rPr>
          <w:vertAlign w:val="superscript"/>
        </w:rPr>
        <w:t xml:space="preserve">3</w:t>
      </w:r>
      <w:r>
        <w:t xml:space="preserve">, 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46"/>
    <w:bookmarkStart w:id="47"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w:t>
      </w:r>
      <w:r>
        <w:rPr>
          <w:vertAlign w:val="superscript"/>
        </w:rPr>
        <w:t xml:space="preserve">12</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t xml:space="preserve">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w:t>
      </w:r>
      <w:r>
        <w:rPr>
          <w:vertAlign w:val="superscript"/>
        </w:rPr>
        <w:t xml:space="preserve">34</w:t>
      </w:r>
      <w:r>
        <w:t xml:space="preserve"> </w:t>
      </w:r>
      <w:r>
        <w:t xml:space="preserve">Declining volume years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register cannot separate the two, and the reallocation share is unbounded in our data. Norwegian participation research is compatible with both: ambition is strongly stratified among youth participants,</w:t>
      </w:r>
      <w:r>
        <w:rPr>
          <w:vertAlign w:val="superscript"/>
        </w:rPr>
        <w:t xml:space="preserve">11</w:t>
      </w:r>
      <w:r>
        <w:t xml:space="preserve"> </w:t>
      </w:r>
      <w:r>
        <w:t xml:space="preserve">and exit from organized sport can itself reclaim time and autonomy rather than mark a loss.</w:t>
      </w:r>
      <w:r>
        <w:rPr>
          <w:vertAlign w:val="superscript"/>
        </w:rPr>
        <w:t xml:space="preserve">35</w:t>
      </w:r>
      <w:r>
        <w:t xml:space="preserve"> </w:t>
      </w:r>
      <w:r>
        <w:t xml:space="preserve">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0.61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0.42) and females (HR = 0.46),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primarily concerns diversification</w:t>
      </w:r>
      <w:r>
        <w:t xml:space="preserve"> </w:t>
      </w:r>
      <w:r>
        <w:rPr>
          <w:i/>
          <w:iCs/>
        </w:rPr>
        <w:t xml:space="preserve">across sports</w:t>
      </w:r>
      <w:r>
        <w:t xml:space="preserve"> </w:t>
      </w:r>
      <w:r>
        <w:t xml:space="preserve">— multisport sampling versus early single-sport specialization and its consequences for elite performance and athlete health.</w:t>
      </w:r>
      <w:r>
        <w:rPr>
          <w:vertAlign w:val="superscript"/>
        </w:rPr>
        <w:t xml:space="preserve">17,18</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w:t>
      </w:r>
      <w:r>
        <w:rPr>
          <w:vertAlign w:val="superscript"/>
        </w:rPr>
        <w:t xml:space="preserve">36</w:t>
      </w:r>
      <w:r>
        <w:t xml:space="preserve"> </w:t>
      </w:r>
      <w:r>
        <w:t xml:space="preserve">and blanket condemnation of early specialization has been argued to outrun the evidence</w:t>
      </w:r>
      <w:r>
        <w:rPr>
          <w:vertAlign w:val="superscript"/>
        </w:rPr>
        <w:t xml:space="preserve">37</w:t>
      </w:r>
      <w:r>
        <w:t xml:space="preserve"> </w:t>
      </w:r>
      <w:r>
        <w:t xml:space="preserve">—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into surveys,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w:t>
      </w:r>
      <w:r>
        <w:rPr>
          <w:vertAlign w:val="superscript"/>
        </w:rPr>
        <w:t xml:space="preserve">6,7</w:t>
      </w:r>
      <w:r>
        <w:t xml:space="preserve"> </w:t>
      </w:r>
      <w:r>
        <w:t xml:space="preserve">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w:t>
      </w:r>
      <w:r>
        <w:rPr>
          <w:vertAlign w:val="superscript"/>
        </w:rPr>
        <w:t xml:space="preserve">3</w:t>
      </w:r>
      <w:r>
        <w:t xml:space="preserve"> </w:t>
      </w:r>
      <w:r>
        <w:t xml:space="preserve">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the three venues cover eastern, mid, and western Norway (none northern).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Konkurranseregler og bestemmelser [Competition rules and regulations], https://www.friidrett.no/lover-og-regler/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2026-08-25T14:04:37Z</dcterms:created>
  <dcterms:modified xsi:type="dcterms:W3CDTF">2026-08-25T14:04:37Z</dcterms:modified>
</cp:coreProperties>
</file>

<file path=docProps/custom.xml><?xml version="1.0" encoding="utf-8"?>
<Properties xmlns="http://schemas.openxmlformats.org/officeDocument/2006/custom-properties" xmlns:vt="http://schemas.openxmlformats.org/officeDocument/2006/docPropsVTypes"/>
</file>