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measured in the same window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participation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regression models, which condition on sex, except a mean-imputation check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the other primary-model variables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and secondary models were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or later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2.07, 2.04 [1.75, 2.39] and 2.03; Supplementary Table S22), and folds grouped by club gave the same cross-validated AUC (0.766; Supplementary Table S26): the association holds within clubs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contribute independently; they are not substitutes.</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contributed independently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w:t>
      </w:r>
    </w:p>
    <w:p>
      <w:pPr>
        <w:pStyle w:val="BodyText"/>
      </w:pPr>
      <w:r>
        <w:t xml:space="preserve">Second, because a change score spanning the exit could conflate decline with the exit itself, we repeated the test where no exit can contaminate it: among athletes still competing at age 16 (≥2 results; n = 1,088),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0.68 per SD, 95% CI [0.62, 0.74], C-index = 0.695; complete-case n = 1,147; Supplementary Table S8). 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measured in the same window, which nonetheless added complementary information. Second, the association was reproduced in both birth cohorts and withstood structural controls, club random effects, club-clustered and club-grouped validation, and multiple imputation. Third, the dropout signal decomposed into two components: early behavioral heterogeneity visible at 13–14, and a within-athlete decline in competition participation before exit. Most dropouts tapered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is thus partially supported: behavior discriminates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while Tyrving is a scored maximum whose norms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level and change carried independent information, also in the contamination-free window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 .42); adjusted, females retained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 0.46 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is low-but-active (cohort entry guarantees a baseline meet),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293.2);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checked across two cohorts of one register but not externally validated, and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contribute independently,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Both baseline level and within-athlete decline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t xml:space="preserve">0.70 [0.62, 0.79]</w:t>
            </w:r>
          </w:p>
        </w:tc>
        <w:tc>
          <w:tcPr/>
          <w:p>
            <w:pPr>
              <w:pStyle w:val="Compact"/>
            </w:pPr>
            <w:r>
              <w:t xml:space="preserve">0.93 [0.77, 1.12]</w:t>
            </w:r>
          </w:p>
        </w:tc>
      </w:tr>
      <w:tr>
        <w:tc>
          <w:tcPr/>
          <w:p>
            <w:pPr>
              <w:pStyle w:val="Compact"/>
            </w:pPr>
            <w:r>
              <w:t xml:space="preserve">Championship types (count)</w:t>
            </w:r>
          </w:p>
        </w:tc>
        <w:tc>
          <w:tcPr/>
          <w:p>
            <w:pPr>
              <w:pStyle w:val="Compact"/>
            </w:pPr>
            <w:r>
              <w:t xml:space="preserve">0.79 [0.73, 0.86]</w:t>
            </w:r>
          </w:p>
        </w:tc>
        <w:tc>
          <w:tcPr/>
          <w:p>
            <w:pPr>
              <w:pStyle w:val="Compact"/>
            </w:pPr>
            <w:r>
              <w:t xml:space="preserve">0.93 [0.81, 1.06]</w:t>
            </w:r>
          </w:p>
        </w:tc>
        <w:tc>
          <w:tcPr/>
          <w:p>
            <w:pPr>
              <w:pStyle w:val="Compact"/>
            </w:pPr>
            <w:r>
              <w:t xml:space="preserve">0.78 [0.61, 0.99]</w:t>
            </w:r>
          </w:p>
        </w:tc>
      </w:tr>
      <w:tr>
        <w:tc>
          <w:tcPr/>
          <w:p>
            <w:pPr>
              <w:pStyle w:val="Compact"/>
            </w:pPr>
            <w:r>
              <w:t xml:space="preserve">Tyrving (z)</w:t>
            </w:r>
          </w:p>
        </w:tc>
        <w:tc>
          <w:tcPr/>
          <w:p>
            <w:pPr>
              <w:pStyle w:val="Compact"/>
            </w:pPr>
            <w:r>
              <w:t xml:space="preserve">0.93 [0.89, 0.98]</w:t>
            </w:r>
          </w:p>
        </w:tc>
        <w:tc>
          <w:tcPr/>
          <w:p>
            <w:pPr>
              <w:pStyle w:val="Compact"/>
            </w:pPr>
            <w:r>
              <w:t xml:space="preserve">0.84 [0.76, 0.94]</w:t>
            </w:r>
          </w:p>
        </w:tc>
        <w:tc>
          <w:tcPr/>
          <w:p>
            <w:pPr>
              <w:pStyle w:val="Compact"/>
            </w:pPr>
            <w:r>
              <w:t xml:space="preserve">1.05 [0.86, 1.28]</w:t>
            </w:r>
          </w:p>
        </w:tc>
      </w:tr>
      <w:tr>
        <w:tc>
          <w:tcPr/>
          <w:p>
            <w:pPr>
              <w:pStyle w:val="Compact"/>
            </w:pPr>
            <w:r>
              <w:t xml:space="preserve">HHI, ages 13–14 (z)</w:t>
            </w:r>
          </w:p>
        </w:tc>
        <w:tc>
          <w:tcPr/>
          <w:p>
            <w:pPr>
              <w:pStyle w:val="Compact"/>
            </w:pPr>
            <w:r>
              <w:t xml:space="preserve">1.03 [0.98, 1.09]</w:t>
            </w:r>
          </w:p>
        </w:tc>
        <w:tc>
          <w:tcPr/>
          <w:p>
            <w:pPr>
              <w:pStyle w:val="Compact"/>
            </w:pPr>
            <w:r>
              <w:t xml:space="preserve">0.90 [0.82, 0.99]</w:t>
            </w:r>
          </w:p>
        </w:tc>
        <w:tc>
          <w:tcPr/>
          <w:p>
            <w:pPr>
              <w:pStyle w:val="Compact"/>
            </w:pPr>
            <w:r>
              <w:t xml:space="preserve">1.00 [0.86, 1.16]</w:t>
            </w:r>
          </w:p>
        </w:tc>
      </w:tr>
      <w:tr>
        <w:tc>
          <w:tcPr/>
          <w:p>
            <w:pPr>
              <w:pStyle w:val="Compact"/>
            </w:pPr>
            <w:r>
              <w:t xml:space="preserve">Female</w:t>
            </w:r>
          </w:p>
        </w:tc>
        <w:tc>
          <w:tcPr/>
          <w:p>
            <w:pPr>
              <w:pStyle w:val="Compact"/>
            </w:pPr>
            <w:r>
              <w:t xml:space="preserve">1.07 [0.96, 1.19]</w:t>
            </w:r>
          </w:p>
        </w:tc>
        <w:tc>
          <w:tcPr/>
          <w:p>
            <w:pPr>
              <w:pStyle w:val="Compact"/>
            </w:pPr>
            <w:r>
              <w:t xml:space="preserve">1.48 [1.23, 1.78]</w:t>
            </w:r>
          </w:p>
        </w:tc>
        <w:tc>
          <w:tcPr/>
          <w:p>
            <w:pPr>
              <w:pStyle w:val="Compact"/>
            </w:pPr>
            <w:r>
              <w:t xml:space="preserve">1.03 [0.76, 1.40]</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0.660</w:t>
            </w:r>
          </w:p>
        </w:tc>
        <w:tc>
          <w:tcPr/>
          <w:p>
            <w:pPr>
              <w:pStyle w:val="Compact"/>
            </w:pPr>
            <w: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ORs are per SD of the whole cohort, so the two cohorts are on the same scale.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and 0.8%.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2026-10-02T18:06:43Z</dcterms:created>
  <dcterms:modified xsi:type="dcterms:W3CDTF">2026-10-02T18:06:43Z</dcterms:modified>
</cp:coreProperties>
</file>

<file path=docProps/custom.xml><?xml version="1.0" encoding="utf-8"?>
<Properties xmlns="http://schemas.openxmlformats.org/officeDocument/2006/custom-properties" xmlns:vt="http://schemas.openxmlformats.org/officeDocument/2006/docPropsVTypes"/>
</file>