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behaviour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behaviour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behavioural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behavioural trajectories of future retainers and future dropouts should</w:t>
      </w:r>
      <w:r>
        <w:t xml:space="preserve"> </w:t>
      </w:r>
      <w:r>
        <w:rPr>
          <w:i/>
          <w:iCs/>
        </w:rPr>
        <w:t xml:space="preserve">diverge before</w:t>
      </w:r>
      <w:r>
        <w:t xml:space="preserve"> </w:t>
      </w:r>
      <w:r>
        <w:t xml:space="preserve">formal exit (dropout-as-process). Second,</w:t>
      </w:r>
      <w:r>
        <w:t xml:space="preserve"> </w:t>
      </w:r>
      <w:r>
        <w:rPr>
          <w:i/>
          <w:iCs/>
        </w:rPr>
        <w:t xml:space="preserve">behavioural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behaviour not as a direct measure of motivation but as an observable behavioural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entry was not contingent on selection by coaches or on achieving qualifying performance benchmarks. The meets did, however, involve a</w:t>
      </w:r>
      <w:r>
        <w:t xml:space="preserve"> </w:t>
      </w:r>
      <w:r>
        <w:rPr>
          <w:i/>
          <w:iCs/>
        </w:rPr>
        <w:t xml:space="preserve">soft form of self-selection</w:t>
      </w:r>
      <w:r>
        <w:t xml:space="preserve">: entering a regional meet typically requires being a registered club member who has trained and competed locally during the season. This selection threshold is a design feature rather than a limitation. It ensures that the baseline cohort consists of adolescents who are already actively engaged in organized track and field — not children who occasionally attended a school physical-education event or accompanied a friend to a single neighbourhood race. The subsequent disengagement trajectories we trace therefore unfold from a baseline state of demonstrable engagement, sharpening the substantive interpretation of any later behavioural decline.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sample-size-and-detection-capacity"/>
    <w:p>
      <w:pPr>
        <w:pStyle w:val="Heading3"/>
      </w:pPr>
      <w:r>
        <w:t xml:space="preserve">2.5.4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 i.e., effects with</w:t>
      </w:r>
      <w:r>
        <w:t xml:space="preserve"> </w:t>
      </w:r>
      <m:oMath>
        <m:r>
          <m:t>H</m:t>
        </m:r>
        <m:r>
          <m:t>R</m:t>
        </m:r>
        <m:r>
          <m:rPr>
            <m:sty m:val="p"/>
          </m:rPr>
          <m:t>&lt;</m:t>
        </m:r>
        <m:r>
          <m:t>0.93</m:t>
        </m:r>
      </m:oMath>
      <w:r>
        <w:t xml:space="preserve"> </w:t>
      </w:r>
      <w:r>
        <w:t xml:space="preserve">or</w:t>
      </w:r>
      <w:r>
        <w:t xml:space="preserve"> </w:t>
      </w:r>
      <m:oMath>
        <m:r>
          <m:rPr>
            <m:sty m:val="p"/>
          </m:rPr>
          <m:t>&gt;</m:t>
        </m:r>
        <m:r>
          <m:t>1.07</m:t>
        </m:r>
      </m:oMath>
      <w:r>
        <w:t xml:space="preserve"> </w:t>
      </w:r>
      <w:r>
        <w:t xml:space="preserve">are detectable.</w:t>
      </w:r>
    </w:p>
    <w:p>
      <w:pPr>
        <w:pStyle w:val="BodyText"/>
      </w:pPr>
      <w:r>
        <w:t xml:space="preserve">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(minimum detectable HR ≈ 1.07) is therefore well below the effect magnitudes typically reported in this literature; null findings reported here (e.g., the unadjusted sex coefficient in M1, or HHI in M3) should be interpreted as substantively small rather than as underpowered.</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BodyText"/>
      </w:pPr>
      <w:r>
        <w:t xml:space="preserve">[</w:t>
      </w:r>
      <w:r>
        <w:rPr>
          <w:b/>
          <w:bCs/>
        </w:rPr>
        <w:t xml:space="preserve">Figure 3 about here</w:t>
      </w:r>
      <w:r>
        <w:t xml:space="preserve">]</w:t>
      </w:r>
    </w:p>
    <w:bookmarkEnd w:id="39"/>
    <w:bookmarkStart w:id="40"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p>
      <w:pPr>
        <w:pStyle w:val="BodyText"/>
      </w:pPr>
      <w:r>
        <w:t xml:space="preserve">[</w:t>
      </w:r>
      <w:r>
        <w:rPr>
          <w:b/>
          <w:bCs/>
        </w:rPr>
        <w:t xml:space="preserve">Table 3 about here</w:t>
      </w:r>
      <w:r>
        <w:t xml:space="preserve">]</w:t>
      </w:r>
    </w:p>
    <w:bookmarkEnd w:id="40"/>
    <w:bookmarkStart w:id="41"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p>
      <w:pPr>
        <w:pStyle w:val="BodyText"/>
      </w:pPr>
      <w:r>
        <w:t xml:space="preserve">[</w:t>
      </w:r>
      <w:r>
        <w:rPr>
          <w:b/>
          <w:bCs/>
        </w:rPr>
        <w:t xml:space="preserve">Table 4 about here</w:t>
      </w:r>
      <w:r>
        <w:t xml:space="preserve">]</w:t>
      </w:r>
    </w:p>
    <w:bookmarkEnd w:id="41"/>
    <w:bookmarkStart w:id="42"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BodyText"/>
      </w:pPr>
      <w:r>
        <w:t xml:space="preserve">[</w:t>
      </w:r>
      <w:r>
        <w:rPr>
          <w:b/>
          <w:bCs/>
        </w:rPr>
        <w:t xml:space="preserve">Figure 4 about here</w:t>
      </w:r>
      <w:r>
        <w:t xml:space="preserve">]</w:t>
      </w:r>
    </w:p>
    <w:p>
      <w:pPr>
        <w:pStyle w:val="BodyText"/>
      </w:pPr>
      <w:r>
        <w:t xml:space="preserve">[</w:t>
      </w:r>
      <w:r>
        <w:rPr>
          <w:b/>
          <w:bCs/>
        </w:rPr>
        <w:t xml:space="preserve">Table 5 about here</w:t>
      </w:r>
      <w:r>
        <w:t xml:space="preserve">]</w:t>
      </w:r>
    </w:p>
    <w:bookmarkEnd w:id="42"/>
    <w:bookmarkStart w:id="43"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43"/>
    <w:bookmarkStart w:id="44"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p>
      <w:pPr>
        <w:pStyle w:val="BodyText"/>
      </w:pPr>
      <w:r>
        <w:t xml:space="preserve">[</w:t>
      </w:r>
      <w:r>
        <w:rPr>
          <w:b/>
          <w:bCs/>
        </w:rPr>
        <w:t xml:space="preserve">Table 6 about here</w:t>
      </w:r>
      <w:r>
        <w:t xml:space="preserve">]</w:t>
      </w:r>
    </w:p>
    <w:bookmarkEnd w:id="44"/>
    <w:bookmarkStart w:id="45"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45"/>
    <w:bookmarkStart w:id="46"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p>
      <w:pPr>
        <w:pStyle w:val="BodyText"/>
      </w:pPr>
      <w:r>
        <w:t xml:space="preserve">[</w:t>
      </w:r>
      <w:r>
        <w:rPr>
          <w:b/>
          <w:bCs/>
        </w:rPr>
        <w:t xml:space="preserve">Table 7 about here</w:t>
      </w:r>
      <w:r>
        <w:t xml:space="preserve">]</w:t>
      </w:r>
    </w:p>
    <w:bookmarkEnd w:id="46"/>
    <w:bookmarkStart w:id="4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49"/>
    <w:bookmarkStart w:id="5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50"/>
    <w:bookmarkStart w:id="5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1"/>
    <w:bookmarkStart w:id="5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2"/>
    <w:bookmarkStart w:id="5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53"/>
    <w:bookmarkStart w:id="5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54"/>
    <w:bookmarkStart w:id="5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in the first place. We frame this as a feature of the design — it lets us trace disengagement among athletes who were genuinely in the system — but readers should not extrapolate the calibration metrics (Table 6) to</w:t>
      </w:r>
      <w:r>
        <w:t xml:space="preserve"> </w:t>
      </w:r>
      <w:r>
        <w:t xml:space="preserve">“everyone who ever ran a school race.”</w:t>
      </w:r>
      <w:r>
        <w:t xml:space="preserve"> </w:t>
      </w:r>
      <w:r>
        <w:t xml:space="preserve">A second-stage retention analysis applied to the broader population (e.g., all registered club members regardless of regional-meet entry) would have different base rates and likely different threshold optima.</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55"/>
    <w:bookmarkStart w:id="5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56"/>
    <w:bookmarkStart w:id="5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2026-05-18T11:16:35Z</dcterms:created>
  <dcterms:modified xsi:type="dcterms:W3CDTF">2026-05-18T11:16:35Z</dcterms:modified>
</cp:coreProperties>
</file>

<file path=docProps/custom.xml><?xml version="1.0" encoding="utf-8"?>
<Properties xmlns="http://schemas.openxmlformats.org/officeDocument/2006/custom-properties" xmlns:vt="http://schemas.openxmlformats.org/officeDocument/2006/docPropsVTypes"/>
</file>