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 measured in the same window</w:t>
      </w:r>
      <w:r>
        <w:t xml:space="preserve"> </w:t>
      </w:r>
      <w:r>
        <w:rPr>
          <w:rStyle w:val="Revised"/>
        </w:rPr>
        <w:t xml:space="preserve">(which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w:t>
      </w:r>
      <w:r>
        <w:t xml:space="preserve"> </w:t>
      </w:r>
      <w:r>
        <w:rPr>
          <w:rStyle w:val="Revised"/>
        </w:rPr>
        <w:t xml:space="preserve">(see the limitations)</w:t>
      </w:r>
      <w:r>
        <w:t xml:space="preserve">.</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rPr>
          <w:rStyle w:val="Revised"/>
        </w:rPr>
        <w:t xml:space="preserve">In sociology,</w:t>
      </w:r>
      <w:r>
        <w:t xml:space="preserve"> </w:t>
      </w:r>
      <w:r>
        <w:t xml:space="preserve">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w:t>
      </w:r>
      <w:r>
        <w:t xml:space="preserve"> </w:t>
      </w:r>
      <w:r>
        <w:rPr>
          <w:rStyle w:val="Revised"/>
        </w:rPr>
        <w:t xml:space="preserve">Norwegian survey evidence adds that reasons for leaving are diverse and socially patterned</w:t>
      </w:r>
      <w:r>
        <w:t xml:space="preserve">, with sport expenses cited more often by minority youth from less-resourced families.</w:t>
      </w:r>
      <w:r>
        <w:rPr>
          <w:vertAlign w:val="superscript"/>
        </w:rPr>
        <w:t xml:space="preserve">10</w:t>
      </w:r>
    </w:p>
    <w:p>
      <w:pPr>
        <w:pStyle w:val="BodyText"/>
      </w:pPr>
      <w:r>
        <w:rPr>
          <w:rStyle w:val="Revised"/>
        </w:rPr>
        <w:t xml:space="preserve">Athletes</w:t>
      </w:r>
      <w:r>
        <w:t xml:space="preserve"> </w:t>
      </w:r>
      <w:r>
        <w:t xml:space="preserve">also differ in how they respond when competitive demands increase. Norwegian</w:t>
      </w:r>
      <w:r>
        <w:t xml:space="preserve"> </w:t>
      </w:r>
      <w:r>
        <w:rPr>
          <w:rStyle w:val="Revised"/>
        </w:rPr>
        <w:t xml:space="preserve">research</w:t>
      </w:r>
      <w:r>
        <w:t xml:space="preserve"> </w:t>
      </w:r>
      <w:r>
        <w:t xml:space="preserve">documents strong variation in involvement</w:t>
      </w:r>
      <w:r>
        <w:rPr>
          <w:vertAlign w:val="superscript"/>
        </w:rPr>
        <w:t xml:space="preserve">11</w:t>
      </w:r>
      <w:r>
        <w:rPr>
          <w:rStyle w:val="Revised"/>
        </w:rPr>
        <w:t xml:space="preserve">: a</w:t>
      </w:r>
      <w:r>
        <w:t xml:space="preserve"> </w:t>
      </w:r>
      <w:r>
        <w:t xml:space="preserve">minority hold</w:t>
      </w:r>
      <w:r>
        <w:t xml:space="preserve"> </w:t>
      </w:r>
      <w:r>
        <w:t xml:space="preserve">“heavy”</w:t>
      </w:r>
      <w:r>
        <w:t xml:space="preserve"> </w:t>
      </w:r>
      <w:r>
        <w:t xml:space="preserve">involvement motives, while the larger group</w:t>
      </w:r>
      <w:r>
        <w:t xml:space="preserve"> </w:t>
      </w:r>
      <w:r>
        <w:rPr>
          <w:rStyle w:val="Revised"/>
        </w:rPr>
        <w:t xml:space="preserve">prefer</w:t>
      </w:r>
      <w:r>
        <w:t xml:space="preserve"> </w:t>
      </w:r>
      <w:r>
        <w:t xml:space="preserve">“lighter”</w:t>
      </w:r>
      <w:r>
        <w:t xml:space="preserve"> </w:t>
      </w:r>
      <w:r>
        <w:t xml:space="preserve">involvement</w:t>
      </w:r>
      <w:r>
        <w:t xml:space="preserve"> </w:t>
      </w:r>
      <w:r>
        <w:rPr>
          <w:rStyle w:val="Revised"/>
        </w:rPr>
        <w:t xml:space="preserve">and quit</w:t>
      </w:r>
      <w:r>
        <w:t xml:space="preserve"> </w:t>
      </w:r>
      <w:r>
        <w:t xml:space="preserve">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rPr>
          <w:rStyle w:val="Revised"/>
        </w:rPr>
        <w:t xml:space="preserve">, and such differences can leave behavioral traces well before exit:</w:t>
      </w:r>
      <w:r>
        <w:t xml:space="preserve"> </w:t>
      </w:r>
      <w:r>
        <w:t xml:space="preserve">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rPr>
          <w:rStyle w:val="Revised"/>
        </w:rPr>
        <w:t xml:space="preserve">These accounts describe a process,</w:t>
      </w:r>
      <w:r>
        <w:t xml:space="preserve"> </w:t>
      </w:r>
      <w:r>
        <w:t xml:space="preserve">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rStyle w:val="Revised"/>
        </w:rPr>
        <w:t xml:space="preserve">declining competition participation is treated as a behavioral marker of disengagement, not as disengagement itself or a measure of motivation</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rPr>
          <w:rStyle w:val="Revised"/>
        </w:rPr>
        <w:t xml:space="preserve">Athletes and families choose meets and events; entry fees are ordinarily club-paid and travel distances short.</w:t>
      </w:r>
      <w:r>
        <w:t xml:space="preserve"> </w:t>
      </w:r>
      <w:r>
        <w:t xml:space="preserve">The first genuinely selective competition is the national youth championship (Ungdomsmesterskapet, UM), open from the calendar year athletes turn 15, with event-specific qualifying standards. Two design consequences follow: before age 15, meet counts</w:t>
      </w:r>
      <w:r>
        <w:t xml:space="preserve"> </w:t>
      </w:r>
      <w:r>
        <w:rPr>
          <w:rStyle w:val="Revised"/>
        </w:rPr>
        <w:t xml:space="preserve">mainly</w:t>
      </w:r>
      <w:r>
        <w:t xml:space="preserve"> </w:t>
      </w:r>
      <w:r>
        <w:t xml:space="preserve">express the athlete’s own choice rather than selection or entry costs, which licenses interpreting ages-13–14 volume as a behavioral indicator of engagement; and the ages-15–16 window coincides with the first selective gate,</w:t>
      </w:r>
      <w:r>
        <w:t xml:space="preserve"> </w:t>
      </w:r>
      <w:r>
        <w:rPr>
          <w:rStyle w:val="Revised"/>
        </w:rPr>
        <w:t xml:space="preserve">so</w:t>
      </w:r>
      <w:r>
        <w:t xml:space="preserve"> </w:t>
      </w:r>
      <w:r>
        <w:t xml:space="preserve">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w:t>
      </w:r>
      <w:r>
        <w:t xml:space="preserve"> </w:t>
      </w:r>
      <w:r>
        <w:rPr>
          <w:rStyle w:val="Revised"/>
        </w:rPr>
        <w:t xml:space="preserve">participation trajectories</w:t>
      </w:r>
      <w:r>
        <w:t xml:space="preserve"> </w:t>
      </w:r>
      <w:r>
        <w:t xml:space="preserve">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regression models, which condition on sex, except a mean-imputation check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w:t>
      </w:r>
      <w:r>
        <w:rPr>
          <w:rStyle w:val="Revised"/>
        </w:rPr>
        <w:t xml:space="preserve">, and an athlete fixed-effects model of log(1 + meets) at ages 13–19 that estimates each athlete’s decline relative to their own earlier volume (Supplementary Methods S-M6)</w:t>
      </w:r>
      <w:r>
        <w:t xml:space="preserve">. Prospective early-warning thresholds on pre-milestone volume (</w:t>
      </w:r>
      <w:r>
        <w:rPr>
          <w:rStyle w:val="Revised"/>
        </w:rPr>
        <w:t xml:space="preserve">candidate cut-offs applied</w:t>
      </w:r>
      <w:r>
        <w:t xml:space="preserve"> </w:t>
      </w:r>
      <w:r>
        <w:t xml:space="preserve">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rPr>
          <w:rStyle w:val="Revised"/>
        </w:rPr>
        <w:t xml:space="preserve"> </w:t>
      </w:r>
      <w:r>
        <w:rPr>
          <w:rStyle w:val="Revised"/>
        </w:rPr>
        <w:t xml:space="preserve">Baseline Tyrving was missing for 2 athletes (0.1%), both without registered sex; the other primary-model variables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and secondary models were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w:t>
      </w:r>
      <w:r>
        <w:t xml:space="preserve"> </w:t>
      </w:r>
      <w:r>
        <w:rPr>
          <w:rStyle w:val="Revised"/>
        </w:rPr>
        <w:t xml:space="preserve">or later</w:t>
      </w:r>
      <w:r>
        <w:t xml:space="preserve"> </w:t>
      </w:r>
      <w:r>
        <w:t xml:space="preserve">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The annual exit rate peaked at ages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w:t>
      </w:r>
      <w:r>
        <w:t xml:space="preserve"> </w:t>
      </w:r>
      <w:r>
        <w:rPr>
          <w:rStyle w:val="Revised"/>
        </w:rPr>
        <w:t xml:space="preserve">club random intercepts, club-clustered standard errors and a population-averaged model gave similar volume estimates (OR = 2.10, 2.04 [1.75, 2.39] and 2.03; Supplementary Table S22)</w:t>
      </w:r>
      <w:r>
        <w:rPr>
          <w:rStyle w:val="Revised"/>
        </w:rPr>
        <w:t xml:space="preserve">, and folds grouped by club gave the same cross-validated AUC (0.766; Supplementary Table S26)</w:t>
      </w:r>
      <w:r>
        <w:t xml:space="preserve">: the association holds within clubs</w:t>
      </w:r>
      <w:r>
        <w:t xml:space="preserve"> </w:t>
      </w:r>
      <w:r>
        <w:rPr>
          <w:rStyle w:val="Revised"/>
        </w:rPr>
        <w:t xml:space="preserve">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w:t>
      </w:r>
      <w:r>
        <w:rPr>
          <w:b/>
          <w:bCs/>
        </w:rPr>
        <w:t xml:space="preserve"> </w:t>
      </w:r>
      <w:r>
        <w:rPr>
          <w:b/>
          <w:bCs/>
        </w:rPr>
        <w:t xml:space="preserve">contribute independently; they are not substitutes.</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 contributed independently (both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r>
        <w:rPr>
          <w:rStyle w:val="Revised"/>
        </w:rPr>
        <w:t xml:space="preserve">; Supplementary Table S14</w:t>
      </w:r>
      <w:r>
        <w:t xml:space="preserve">).</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where no exit can contaminate it: among athletes still competing at age 16 (≥2 results; n =</w:t>
      </w:r>
      <w:r>
        <w:t xml:space="preserve"> </w:t>
      </w:r>
      <w:r>
        <w:rPr>
          <w:rStyle w:val="Revised"/>
        </w:rPr>
        <w:t xml:space="preserve">1,088</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rPr>
          <w:rStyle w:val="Revised"/>
        </w:rP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matched volume (0.737 vs. 0.736;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0.68</w:t>
      </w:r>
      <w:r>
        <w:t xml:space="preserve"> </w:t>
      </w:r>
      <w:r>
        <w:t xml:space="preserve">per SD, 95% CI</w:t>
      </w:r>
      <w:r>
        <w:t xml:space="preserve"> </w:t>
      </w:r>
      <w:r>
        <w:rPr>
          <w:rStyle w:val="Revised"/>
        </w:rPr>
        <w:t xml:space="preserve">[0.62, 0.74]</w:t>
      </w:r>
      <w:r>
        <w:t xml:space="preserve">, C-index =</w:t>
      </w:r>
      <w:r>
        <w:t xml:space="preserve"> </w:t>
      </w:r>
      <w:r>
        <w:rPr>
          <w:rStyle w:val="Revised"/>
        </w:rPr>
        <w:t xml:space="preserve">0.695</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(volume HR = 0.65 per SD, 95% CI [0.62, 0.69]; Supplementary Tables S10 and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rPr>
          <w:rStyle w:val="Revised"/>
        </w:rPr>
        <w:t xml:space="preserve">A prospective rule can be evaluated at the end of the age-14 season (Table 6).</w:t>
      </w:r>
      <w:r>
        <w:t xml:space="preserve"> </w:t>
      </w:r>
      <w:r>
        <w:t xml:space="preserve">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measured in the same window,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 decomposed into 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w:t>
      </w:r>
      <w:r>
        <w:t xml:space="preserve"> </w:t>
      </w:r>
      <w:r>
        <w:rPr>
          <w:rStyle w:val="Revised"/>
        </w:rPr>
        <w:t xml:space="preserve">Most dropouts tapered</w:t>
      </w:r>
      <w:r>
        <w:t xml:space="preserve"> </w:t>
      </w:r>
      <w:r>
        <w:t xml:space="preserve">(median 12 → 10 → 9 → 4 meets across their last four seasons),</w:t>
      </w:r>
      <w:r>
        <w:t xml:space="preserve"> </w:t>
      </w:r>
      <w:r>
        <w:rPr>
          <w:rStyle w:val="Revised"/>
        </w:rPr>
        <w:t xml:space="preserve">falling below their own earlier level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is thus partially supported: behavior discriminates at least as well as performance, not instead of it.</w:t>
      </w:r>
      <w:r>
        <w:t xml:space="preserve"> </w:t>
      </w:r>
      <w:r>
        <w:t xml:space="preserve">Performance reflects capability; volume reflects the athlete’s own choices about taking part,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 while Tyrving is a scored maximum</w:t>
      </w:r>
      <w:r>
        <w:t xml:space="preserve"> </w:t>
      </w:r>
      <w:r>
        <w:rPr>
          <w:rStyle w:val="Revised"/>
        </w:rPr>
        <w:t xml:space="preserve">whose norms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rPr>
          <w:rStyle w:val="Revised"/>
        </w:rPr>
        <w:t xml:space="preserve">: cost, cited more often by youth from less-resourced families</w:t>
      </w:r>
      <w:r>
        <w:rPr>
          <w:rStyle w:val="Revised"/>
          <w:vertAlign w:val="superscript"/>
        </w:rPr>
        <w:t xml:space="preserve">10</w:t>
      </w:r>
      <w:r>
        <w:rPr>
          <w:rStyle w:val="Revised"/>
        </w:rPr>
        <w:t xml:space="preserve"> </w:t>
      </w:r>
      <w:r>
        <w:rPr>
          <w:rStyle w:val="Revised"/>
        </w:rPr>
        <w:t xml:space="preserve">but attenuated here (clubs pay entry fees, travel is short); injury, the most frequently mentioned dropout reason in the 25-year Norwegian track-and-field follow-up (24.3%)</w:t>
      </w:r>
      <w:r>
        <w:rPr>
          <w:rStyle w:val="Revised"/>
          <w:vertAlign w:val="superscript"/>
        </w:rPr>
        <w:t xml:space="preserve">3</w:t>
      </w:r>
      <w:r>
        <w:rPr>
          <w:rStyle w:val="Revised"/>
        </w:rP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volume fell below each athlete’s own earlier level in the two seasons before exit. The typical exit is preceded by declining participation, not a cliff, although the register shows the timing of this decline, not its reasons.</w:t>
      </w:r>
      <w:r>
        <w:t xml:space="preserve"> </w:t>
      </w:r>
      <w:r>
        <w:t xml:space="preserve">Both components are nonetheless</w:t>
      </w:r>
      <w:r>
        <w:t xml:space="preserve"> </w:t>
      </w:r>
      <w:r>
        <w:rPr>
          <w:rStyle w:val="Revised"/>
        </w:rPr>
        <w:t xml:space="preserve">present</w:t>
      </w:r>
      <w:r>
        <w:t xml:space="preserve">: level and change carried independent information</w:t>
      </w:r>
      <w:r>
        <w:rPr>
          <w:rStyle w:val="Revised"/>
        </w:rPr>
        <w:t xml:space="preserve">, also in the contamination-free window (Section 3.5)</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w:t>
      </w:r>
      <w:r>
        <w:rPr>
          <w:rStyle w:val="Revised"/>
        </w:rPr>
        <w:t xml:space="preserve">: disengagement from sport (commitment erosion), or engagement reallocation, since ages 14–16 are when Norwegian multi-sport youth consolidate into one sport, the developmentally appropriate transitions that Battaglia et al.</w:t>
      </w:r>
      <w:r>
        <w:rPr>
          <w:rStyle w:val="Revised"/>
          <w:vertAlign w:val="superscript"/>
        </w:rPr>
        <w:t xml:space="preserve">4</w:t>
      </w:r>
      <w:r>
        <w:rPr>
          <w:rStyle w:val="Revised"/>
        </w:rPr>
        <w:t xml:space="preserve"> </w:t>
      </w:r>
      <w:r>
        <w:rPr>
          <w:rStyle w:val="Revised"/>
        </w:rPr>
        <w:t xml:space="preserve">argue the dropout-as-crisis framing wrongly pathologizes</w:t>
      </w:r>
      <w:r>
        <w:t xml:space="preserve">. The register cannot separate</w:t>
      </w:r>
      <w:r>
        <w:t xml:space="preserve"> </w:t>
      </w:r>
      <w:r>
        <w:rPr>
          <w:rStyle w:val="Revised"/>
        </w:rPr>
        <w:t xml:space="preserve">them; Norwegian research is compatible with both, since involvement is strongly stratified</w:t>
      </w:r>
      <w:r>
        <w:rPr>
          <w:rStyle w:val="Revised"/>
          <w:vertAlign w:val="superscript"/>
        </w:rPr>
        <w:t xml:space="preserve">11,12</w:t>
      </w:r>
      <w:r>
        <w:rPr>
          <w:rStyle w:val="Revised"/>
        </w:rPr>
        <w:t xml:space="preserve"> </w:t>
      </w:r>
      <w:r>
        <w:rPr>
          <w:rStyle w:val="Revised"/>
        </w:rPr>
        <w:t xml:space="preserve">and exit from organized sport can reclaim time and autonomy rather than mark a loss</w:t>
      </w:r>
      <w:r>
        <w:rPr>
          <w:rStyle w:val="Revised"/>
          <w:vertAlign w:val="superscript"/>
        </w:rPr>
        <w:t xml:space="preserve">12</w:t>
      </w:r>
      <w:r>
        <w:t xml:space="preserve">. What the register</w:t>
      </w:r>
      <w:r>
        <w:t xml:space="preserve"> </w:t>
      </w:r>
      <w:r>
        <w:rPr>
          <w:rStyle w:val="Revised"/>
        </w:rPr>
        <w:t xml:space="preserve">shows</w:t>
      </w:r>
      <w:r>
        <w:t xml:space="preserve"> </w:t>
      </w:r>
      <w:r>
        <w:t xml:space="preserve">is that</w:t>
      </w:r>
      <w:r>
        <w:t xml:space="preserve"> </w:t>
      </w:r>
      <w:r>
        <w:rPr>
          <w:i/>
          <w:iCs/>
        </w:rPr>
        <w:t xml:space="preserve">some</w:t>
      </w:r>
      <w:r>
        <w:t xml:space="preserve"> </w:t>
      </w:r>
      <w:r>
        <w:t xml:space="preserve">mechanism (erosion, reallocation, or constraint) leaves a footprint</w:t>
      </w:r>
      <w:r>
        <w:t xml:space="preserve"> </w:t>
      </w:r>
      <w:r>
        <w:rPr>
          <w:rStyle w:val="Revised"/>
        </w:rPr>
        <w:t xml:space="preserve">in</w:t>
      </w:r>
      <w:r>
        <w:t xml:space="preserve"> </w:t>
      </w:r>
      <w:r>
        <w:t xml:space="preserve">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 adjusted, females retained 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w:t>
      </w:r>
      <w:r>
        <w:t xml:space="preserve"> </w:t>
      </w:r>
      <w:r>
        <w:rPr>
          <w:rStyle w:val="Revised"/>
        </w:rPr>
        <w:t xml:space="preserve">0.46</w:t>
      </w:r>
      <w:r>
        <w:t xml:space="preserve"> </w:t>
      </w:r>
      <w:r>
        <w:t xml:space="preserve">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w:t>
      </w:r>
      <w:r>
        <w:t xml:space="preserv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w:t>
      </w:r>
      <w:r>
        <w:t xml:space="preserve"> </w:t>
      </w:r>
      <w:r>
        <w:rPr>
          <w:rStyle w:val="Revised"/>
        </w:rPr>
        <w:t xml:space="preserve">and</w:t>
      </w:r>
      <w:r>
        <w:t xml:space="preserve"> </w:t>
      </w:r>
      <w:r>
        <w:t xml:space="preserve">an athlete concentrated within track and field may simultaneously be a multisport sampler.</w:t>
      </w:r>
      <w:r>
        <w:t xml:space="preserve"> </w:t>
      </w:r>
      <w:r>
        <w:rPr>
          <w:rStyle w:val="Revised"/>
        </w:rPr>
        <w:t xml:space="preserve">The across-sport evidence is in any case less settled than often assumed.</w:t>
      </w:r>
      <w:r>
        <w:rPr>
          <w:rStyle w:val="Revised"/>
          <w:vertAlign w:val="superscript"/>
        </w:rPr>
        <w:t xml:space="preserve">36,37</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 is low-but-active (cohort entry guarantees a baseline meet), so the flag list is an outreach list.</w:t>
      </w:r>
      <w:r>
        <w:t xml:space="preserve"> </w:t>
      </w:r>
      <w:r>
        <w:rPr>
          <w:rStyle w:val="Revised"/>
        </w:rPr>
        <w:t xml:space="preserve">Sensitivity is 0.31, so most future dropouts are</w:t>
      </w:r>
      <w:r>
        <w:rPr>
          <w:rStyle w:val="Revised"/>
        </w:rPr>
        <w:t xml:space="preserve"> </w:t>
      </w:r>
      <w:r>
        <w:rPr>
          <w:rStyle w:val="Revised"/>
          <w:i/>
          <w:iCs/>
        </w:rPr>
        <w:t xml:space="preserve">not</w:t>
      </w:r>
      <w:r>
        <w:rPr>
          <w:rStyle w:val="Revised"/>
        </w:rPr>
        <w:t xml:space="preserve"> </w:t>
      </w:r>
      <w:r>
        <w:rPr>
          <w:rStyle w:val="Revised"/>
        </w:rPr>
        <w:t xml:space="preserve">flagged:</w:t>
      </w:r>
      <w:r>
        <w:t xml:space="preserve"> </w:t>
      </w:r>
      <w:r>
        <w:t xml:space="preserve">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rPr>
          <w:rStyle w:val="Revised"/>
        </w:rPr>
        <w:t xml:space="preserve">The</w:t>
      </w:r>
      <w:r>
        <w:t xml:space="preserve"> </w:t>
      </w:r>
      <w:r>
        <w:t xml:space="preserve">remaining levers are residual and psychological costs: membership and equipment support,</w:t>
      </w:r>
      <w:r>
        <w:t xml:space="preserve"> </w:t>
      </w:r>
      <w:r>
        <w:rPr>
          <w:rStyle w:val="Revised"/>
        </w:rPr>
        <w:t xml:space="preserve">transport</w:t>
      </w:r>
      <w:r>
        <w:t xml:space="preserve">,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w:t>
      </w:r>
      <w:r>
        <w:t xml:space="preserve"> </w:t>
      </w:r>
      <w:r>
        <w:rPr>
          <w:rStyle w:val="Revised"/>
        </w:rPr>
        <w:t xml:space="preserve">those</w:t>
      </w:r>
      <w:r>
        <w:t xml:space="preserve"> </w:t>
      </w:r>
      <w:r>
        <w:t xml:space="preserve">choosing other priorities, for whom retention pressure would be misplaced; understanding</w:t>
      </w:r>
      <w:r>
        <w:t xml:space="preserve"> </w:t>
      </w:r>
      <w:r>
        <w:rPr>
          <w:i/>
          <w:iCs/>
        </w:rPr>
        <w:t xml:space="preserve">why</w:t>
      </w:r>
      <w:r>
        <w:t xml:space="preserve"> </w:t>
      </w:r>
      <w:r>
        <w:rPr>
          <w:rStyle w:val="Revised"/>
        </w:rPr>
        <w:t xml:space="preserve">requires conversation, supported by</w:t>
      </w:r>
      <w:r>
        <w:t xml:space="preserve"> </w:t>
      </w:r>
      <w:r>
        <w:t xml:space="preserve">commitment instruments such as the SCQ-2.</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w:t>
      </w:r>
      <w:r>
        <w:t xml:space="preserve"> </w:t>
      </w:r>
      <w:r>
        <w:rPr>
          <w:rStyle w:val="Revised"/>
        </w:rPr>
        <w:t xml:space="preserve">which</w:t>
      </w:r>
      <w:r>
        <w:t xml:space="preserve"> </w:t>
      </w:r>
      <w:r>
        <w:t xml:space="preserve">the research-ethics exemption of Section 2.7</w:t>
      </w:r>
      <w:r>
        <w:t xml:space="preserve"> </w:t>
      </w:r>
      <w:r>
        <w:rPr>
          <w:rStyle w:val="Revised"/>
        </w:rPr>
        <w:t xml:space="preserve">does not cover</w:t>
      </w:r>
      <w:r>
        <w:t xml:space="preserve">. Deployment would require a federation’s own legal basis and a data-protection impact assessment; flags visible to a designated officer rather than routinely to coaches; informed families with an opt-out; a retention limit for flag data; and attention to equity</w:t>
      </w:r>
      <w:r>
        <w:rPr>
          <w:rStyle w:val="Revised"/>
        </w:rPr>
        <w:t xml:space="preserve">. The flag must be support-only:</w:t>
      </w:r>
      <w:r>
        <w:t xml:space="preserve"> </w:t>
      </w:r>
      <w:r>
        <w:t xml:space="preserve">the same list that identifies whom to help could identify whom a stretched club quietly deprioritizes. These preconditions, and the untested intervention effect, are why the next step is</w:t>
      </w:r>
      <w:r>
        <w:t xml:space="preserve"> </w:t>
      </w:r>
      <w:r>
        <w:rPr>
          <w:rStyle w:val="Revised"/>
        </w:rPr>
        <w:t xml:space="preserve">a pilot (§4.10)</w:t>
      </w:r>
      <w:r>
        <w:t xml:space="preserve"> </w:t>
      </w:r>
      <w:r>
        <w:t xml:space="preserve">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293.2</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 checked across two cohorts of one register but not externally validated, and</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w:t>
      </w:r>
      <w:r>
        <w:t xml:space="preserve"> </w:t>
      </w:r>
      <w:r>
        <w:t xml:space="preserve">contribute independently</w:t>
      </w:r>
      <w:r>
        <w:rPr>
          <w:rStyle w:val="Revised"/>
        </w:rPr>
        <w:t xml:space="preserve">,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rPr>
                <w:rStyle w:val="Revised"/>
              </w:rP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rPr>
                <w:rStyle w:val="Revised"/>
              </w:rP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w:t>
      </w:r>
      <w:r>
        <w:t xml:space="preserve"> </w:t>
      </w:r>
      <w:r>
        <w:t xml:space="preserve">Both baseline level and within-athlete</w:t>
      </w:r>
      <w:r>
        <w:t xml:space="preserve"> </w:t>
      </w:r>
      <w:r>
        <w:rPr>
          <w:rStyle w:val="Revised"/>
        </w:rPr>
        <w:t xml:space="preserve">decline</w:t>
      </w:r>
      <w:r>
        <w:t xml:space="preserve"> </w:t>
      </w:r>
      <w:r>
        <w:t xml:space="preserve">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rPr>
                <w:rStyle w:val="Revised"/>
              </w:rPr>
              <w:t xml:space="preserve">0.70 [0.62, 0.79]</w:t>
            </w:r>
          </w:p>
        </w:tc>
        <w:tc>
          <w:tcPr/>
          <w:p>
            <w:pPr>
              <w:pStyle w:val="Compact"/>
            </w:pPr>
            <w:r>
              <w:rPr>
                <w:rStyle w:val="Revised"/>
              </w:rPr>
              <w:t xml:space="preserve">0.93 [0.77, 1.12]</w:t>
            </w:r>
          </w:p>
        </w:tc>
      </w:tr>
      <w:tr>
        <w:tc>
          <w:tcPr/>
          <w:p>
            <w:pPr>
              <w:pStyle w:val="Compact"/>
            </w:pPr>
            <w:r>
              <w:t xml:space="preserve">Championship types (count)</w:t>
            </w:r>
          </w:p>
        </w:tc>
        <w:tc>
          <w:tcPr/>
          <w:p>
            <w:pPr>
              <w:pStyle w:val="Compact"/>
            </w:pPr>
            <w:r>
              <w:rPr>
                <w:rStyle w:val="Revised"/>
              </w:rPr>
              <w:t xml:space="preserve">0.79 [0.73, 0.86]</w:t>
            </w:r>
          </w:p>
        </w:tc>
        <w:tc>
          <w:tcPr/>
          <w:p>
            <w:pPr>
              <w:pStyle w:val="Compact"/>
            </w:pPr>
            <w:r>
              <w:rPr>
                <w:rStyle w:val="Revised"/>
              </w:rPr>
              <w:t xml:space="preserve">0.93 [0.81, 1.06]</w:t>
            </w:r>
          </w:p>
        </w:tc>
        <w:tc>
          <w:tcPr/>
          <w:p>
            <w:pPr>
              <w:pStyle w:val="Compact"/>
            </w:pPr>
            <w:r>
              <w:rPr>
                <w:rStyle w:val="Revised"/>
              </w:rPr>
              <w:t xml:space="preserve">0.78 [0.61, 0.99]</w:t>
            </w:r>
          </w:p>
        </w:tc>
      </w:tr>
      <w:tr>
        <w:tc>
          <w:tcPr/>
          <w:p>
            <w:pPr>
              <w:pStyle w:val="Compact"/>
            </w:pPr>
            <w:r>
              <w:t xml:space="preserve">Tyrving (z)</w:t>
            </w:r>
          </w:p>
        </w:tc>
        <w:tc>
          <w:tcPr/>
          <w:p>
            <w:pPr>
              <w:pStyle w:val="Compact"/>
            </w:pPr>
            <w:r>
              <w:rPr>
                <w:rStyle w:val="Revised"/>
              </w:rPr>
              <w:t xml:space="preserve">0.93 [0.89, 0.98]</w:t>
            </w:r>
          </w:p>
        </w:tc>
        <w:tc>
          <w:tcPr/>
          <w:p>
            <w:pPr>
              <w:pStyle w:val="Compact"/>
            </w:pPr>
            <w:r>
              <w:rPr>
                <w:rStyle w:val="Revised"/>
              </w:rPr>
              <w:t xml:space="preserve">0.84 [0.76, 0.94]</w:t>
            </w:r>
          </w:p>
        </w:tc>
        <w:tc>
          <w:tcPr/>
          <w:p>
            <w:pPr>
              <w:pStyle w:val="Compact"/>
            </w:pPr>
            <w:r>
              <w:rPr>
                <w:rStyle w:val="Revised"/>
              </w:rPr>
              <w:t xml:space="preserve">1.05 [0.86, 1.28]</w:t>
            </w:r>
          </w:p>
        </w:tc>
      </w:tr>
      <w:tr>
        <w:tc>
          <w:tcPr/>
          <w:p>
            <w:pPr>
              <w:pStyle w:val="Compact"/>
            </w:pPr>
            <w:r>
              <w:rPr>
                <w:rStyle w:val="Revised"/>
              </w:rPr>
              <w:t xml:space="preserve">HHI, ages 13–14 (z)</w:t>
            </w:r>
          </w:p>
        </w:tc>
        <w:tc>
          <w:tcPr/>
          <w:p>
            <w:pPr>
              <w:pStyle w:val="Compact"/>
            </w:pPr>
            <w:r>
              <w:rPr>
                <w:rStyle w:val="Revised"/>
              </w:rPr>
              <w:t xml:space="preserve">1.03 [0.98, 1.09]</w:t>
            </w:r>
          </w:p>
        </w:tc>
        <w:tc>
          <w:tcPr/>
          <w:p>
            <w:pPr>
              <w:pStyle w:val="Compact"/>
            </w:pPr>
            <w:r>
              <w:rPr>
                <w:rStyle w:val="Revised"/>
              </w:rPr>
              <w:t xml:space="preserve">0.90 [0.82, 0.99]</w:t>
            </w:r>
          </w:p>
        </w:tc>
        <w:tc>
          <w:tcPr/>
          <w:p>
            <w:pPr>
              <w:pStyle w:val="Compact"/>
            </w:pPr>
            <w:r>
              <w:rPr>
                <w:rStyle w:val="Revised"/>
              </w:rPr>
              <w:t xml:space="preserve">1.00 [0.86, 1.16]</w:t>
            </w:r>
          </w:p>
        </w:tc>
      </w:tr>
      <w:tr>
        <w:tc>
          <w:tcPr/>
          <w:p>
            <w:pPr>
              <w:pStyle w:val="Compact"/>
            </w:pPr>
            <w:r>
              <w:t xml:space="preserve">Female</w:t>
            </w:r>
          </w:p>
        </w:tc>
        <w:tc>
          <w:tcPr/>
          <w:p>
            <w:pPr>
              <w:pStyle w:val="Compact"/>
            </w:pPr>
            <w:r>
              <w:rPr>
                <w:rStyle w:val="Revised"/>
              </w:rPr>
              <w:t xml:space="preserve">1.07 [0.96, 1.19]</w:t>
            </w:r>
          </w:p>
        </w:tc>
        <w:tc>
          <w:tcPr/>
          <w:p>
            <w:pPr>
              <w:pStyle w:val="Compact"/>
            </w:pPr>
            <w:r>
              <w:rPr>
                <w:rStyle w:val="Revised"/>
              </w:rPr>
              <w:t xml:space="preserve">1.48 [1.23, 1.78]</w:t>
            </w:r>
          </w:p>
        </w:tc>
        <w:tc>
          <w:tcPr/>
          <w:p>
            <w:pPr>
              <w:pStyle w:val="Compact"/>
            </w:pPr>
            <w:r>
              <w:rPr>
                <w:rStyle w:val="Revised"/>
              </w:rPr>
              <w:t xml:space="preserve">1.03 [0.76, 1.40]</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0.660</w:t>
            </w:r>
          </w:p>
        </w:tc>
        <w:tc>
          <w:tcPr/>
          <w:p>
            <w:pPr>
              <w:pStyle w:val="Compact"/>
            </w:pPr>
            <w:r>
              <w:rPr>
                <w:rStyle w:val="Revised"/>
              </w:rP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ORs are per SD of the whole cohort, so the two cohorts are on the same scale. 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and 0.8%.</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2026-10-02T17:22:52Z</dcterms:created>
  <dcterms:modified xsi:type="dcterms:W3CDTF">2026-10-02T17:22:52Z</dcterms:modified>
</cp:coreProperties>
</file>

<file path=docProps/custom.xml><?xml version="1.0" encoding="utf-8"?>
<Properties xmlns="http://schemas.openxmlformats.org/officeDocument/2006/custom-properties" xmlns:vt="http://schemas.openxmlformats.org/officeDocument/2006/docPropsVTypes"/>
</file>