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 Declining competition participation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2,138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strongest predictor (OR = 2.04 per SD, 95% CI [1.80, 2.32]; cross-validated AUC = 0.767; calibration slope 0.98), discriminated retention somewhat better than age-normed performance measured in the same window (which added complementary information; OR = 1.75 per SD), was robust to structural controls, club random effects, and club-grouped validation, and was reproduced in two adjacent birth cohorts (an internal replication). Competition participation declined within athletes before exit: relative to their own earlier seasons, dropouts competed 12% less two seasons and 23% less one season before their final season, and among athletes still active at 16, declining volume across ages 15–16 predicted lower senior retention (OR = 0.54 per SD of decline). Within-sport event concentration was not robustly associated with retention. A register-based candidate flag at the end of the age-14 season (&lt; 10 meets) identifies the 27% of athletes whose senior retention is 5.5%, versus 20% among the unflagged (the lowest-volume quartile gave this cut-off in each birth cohort, and it held when applied to the other):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cohort studied here, fewer than half of those competing at ages 13–14 were still competing at 17 (Section 3).</w:t>
      </w:r>
    </w:p>
    <w:p>
      <w:pPr>
        <w:pStyle w:val="BodyText"/>
      </w:pPr>
      <w:r>
        <w:t xml:space="preserve">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not from sport in general: an athlete who leaves for another sport is, from the register’s perspective, a dropout (see the limitations).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In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Norwegian survey evidence adds that reasons for leaving are diverse and socially patterned, with sport expenses cited more often by minority youth from less-resourced families.</w:t>
      </w:r>
      <w:r>
        <w:rPr>
          <w:vertAlign w:val="superscript"/>
        </w:rPr>
        <w:t xml:space="preserve">10</w:t>
      </w:r>
    </w:p>
    <w:p>
      <w:pPr>
        <w:pStyle w:val="BodyText"/>
      </w:pPr>
      <w:r>
        <w:t xml:space="preserve">Athletes also differ in how they respond when competitive demands increase. Norwegian research documents strong variation in involvement</w:t>
      </w:r>
      <w:r>
        <w:rPr>
          <w:vertAlign w:val="superscript"/>
        </w:rPr>
        <w:t xml:space="preserve">11</w:t>
      </w:r>
      <w:r>
        <w:t xml:space="preserve">: a minority hold</w:t>
      </w:r>
      <w:r>
        <w:t xml:space="preserve"> </w:t>
      </w:r>
      <w:r>
        <w:t xml:space="preserve">“heavy”</w:t>
      </w:r>
      <w:r>
        <w:t xml:space="preserve"> </w:t>
      </w:r>
      <w:r>
        <w:t xml:space="preserve">involvement motives, while the larger group prefer</w:t>
      </w:r>
      <w:r>
        <w:t xml:space="preserve"> </w:t>
      </w:r>
      <w:r>
        <w:t xml:space="preserve">“lighter”</w:t>
      </w:r>
      <w:r>
        <w:t xml:space="preserve"> </w:t>
      </w:r>
      <w:r>
        <w:t xml:space="preserve">involvement and quit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and such differences can leave behavioral traces well before exit: youth ice-hockey players who later dropped out already differed from persisting peers in their earlier training patterns.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accounts describe a process,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2,138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discriminate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 be</w:t>
      </w:r>
      <w:r>
        <w:t xml:space="preserve"> </w:t>
      </w:r>
      <w:r>
        <w:rPr>
          <w:i/>
          <w:iCs/>
        </w:rPr>
        <w:t xml:space="preserve">reproduced</w:t>
      </w:r>
      <w:r>
        <w:t xml:space="preserve"> </w:t>
      </w:r>
      <w:r>
        <w:t xml:space="preserve">in two adjacent birth-year cohorts of the same register (an internal replication). Throughout, declining competition participation is treated as a behavioral marker of disengagement, not as disengagement itself or a measure of motivation;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Athletes and families choose meets and events; entry fees are ordinarily club-paid and travel distances short. The first genuinely selective competition is the national youth championship (Ungdomsmesterskapet, UM), open from the calendar year athletes turn 15, with event-specific qualifying standards. Two design consequences follow: before age 15, meet counts mainly express the athlete’s own choice rather than selection or entry costs, which licenses interpreting ages-13–14 volume as a behavioral indicator of engagement; and the ages-15–16 window coincides with the first selective gate, so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 The target population is thus the engaged core of the age group, not every athlete with a registered result (Section 3.1). Birth years were restricted to 1998–2002 (boundary years 1997 and 2003 had only one eligible edition), and athletes appearing in both a 13- and a 14-year-old edition were de-duplicated to the earlier one (Supplementary Figure S0). For an internal cohort replication, participants were partitioned into Cohort A (births 1998–2000, baseline meets 2011–2014; n = 1,309) and Cohort B (births 2001–2002, baseline meets 2014–2016; n = 829). Athletes were retained regardless of club transfers (27.6% recorded results for two or more clubs), so changing club does not register as dropout. The total cohort comprised 2,138 athletes (1,006 male, 1,130 female, 2 with no registered sex), generating 231,144 competition entries through 2025 (register extract of May 2026; data preparation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 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All events at the baseline meet were scored with the implement- and hurdle-specific norms for the athlete’s sex and age (Supplementary Methods S-M3).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as registered (sprint, middle distance, long distance, steeplechase, hurdles, jumps, throws, ball throws, race walking)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The baseline index is computed from results at ages 13–14 only, the window of the volume predictor (combined-event handling: Supplementary Methods S-M8).</w:t>
      </w:r>
    </w:p>
    <w:bookmarkEnd w:id="20"/>
    <w:bookmarkStart w:id="21" w:name="Xcee8e2a7fa75626651cea146d51b2bff03a6673"/>
    <w:p>
      <w:pPr>
        <w:pStyle w:val="Heading3"/>
      </w:pPr>
      <w:r>
        <w:t xml:space="preserve">2.4.4 Competition participation (behavioral markers)</w:t>
      </w:r>
    </w:p>
    <w:p>
      <w:pPr>
        <w:pStyle w:val="FirstParagraph"/>
      </w:pPr>
      <w:r>
        <w:t xml:space="preserve">For each athlete and age-year from 13 to 18 we counted competition days (vol_age_X: distinct dates with a registered result; the register stores each day of a multi-day meet as a separate meet), called meets for brevity,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 because participation can also decline through injury, another sport, or school constraints, we treat declining participation as a marker of disengagement, not disengagement itself.</w:t>
      </w:r>
    </w:p>
    <w:bookmarkEnd w:id="21"/>
    <w:bookmarkStart w:id="22" w:name="controls"/>
    <w:p>
      <w:pPr>
        <w:pStyle w:val="Heading3"/>
      </w:pPr>
      <w:r>
        <w:t xml:space="preserve">2.4.5 Controls</w:t>
      </w:r>
    </w:p>
    <w:p>
      <w:pPr>
        <w:pStyle w:val="FirstParagraph"/>
      </w:pPr>
      <w:r>
        <w:t xml:space="preserve">Sex (M/F as registered), birth quarter (Q1–Q4; Q1 = January–March, the relatively oldest in the calendar-year age group; unknown for 90 athletes registered without birth date), baseline region (eastern, mid, or western Norway, by venue), and club size in the baseline year (the number of cohort athletes registered for the athlete’s baseline club that year). The 2 athletes without registered sex are excluded from all regression models, which condition on sex (Supplementary Methods S-M3).</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HHI, and pre-milestone volume, fitted in a nested sequence (L1: sex; L2: + Tyrving; L3: + HHI; L4: + volume). Continuous covariates were z-standardized (per-SD effects; re-estimated within each training fold during cross-validation), and all nested models were fitted on the fixed L4 complete-case sample. 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 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the relative-age extremes</w:t>
      </w:r>
      <w:r>
        <w:rPr>
          <w:vertAlign w:val="superscript"/>
        </w:rPr>
        <w:t xml:space="preserve">15</w:t>
      </w:r>
      <w:r>
        <w:t xml:space="preserve">; full coding as sensitivity),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 Level, change, and within-athlete decline before exit</w:t>
      </w:r>
    </w:p>
    <w:p>
      <w:pPr>
        <w:pStyle w:val="FirstParagraph"/>
      </w:pPr>
      <w:r>
        <w:t xml:space="preserve">To disentangle early behavioral heterogeneity from within-athlete decline, we fit a logistic regression on athletes still competing at age 14 (≥1 result; 1,926; complete-case model n = 1,925) including both the volume level at age 14 and the change from 14 to 15 (Table 4; change = later minus earlier volume, so OR &gt; 1 per SD means that decline predicts lower retention). Because a change score can span the exit itself, three 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 and an athlete fixed-effects model of log(1 + meets) at ages 13–19 that estimates each athlete’s decline relative to their own earlier volume (Supplementary Methods S-M6). Prospective early-warning thresholds on pre-milestone volume (candidate cut-offs applied at the end of the age-14 season, with bootstrap CIs) are reported in Table 6, with cut-offs also derived in one birth cohort and tested in the other (Supplementary Table S29).</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 whose clock starts at the end of the age-14 season (Supplementary Tables S10 and S16), a landmark analysis</w:t>
      </w:r>
      <w:r>
        <w:rPr>
          <w:vertAlign w:val="superscript"/>
        </w:rPr>
        <w:t xml:space="preserve">29</w:t>
      </w:r>
      <w:r>
        <w:t xml:space="preserve"> </w:t>
      </w:r>
      <w:r>
        <w:t xml:space="preserve">among athletes still in their career at age 16 (final active season at 16 or later; Supplementary Table S8), and a post-baseline specification interpreted with overlap caveats (Table 5). Temporary gaps followed by a return are not events; definitions ending the spell at the first two-season gap or the first inactive season are reported in Supplementary Table S30.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 internal cohort replication</w:t>
      </w:r>
    </w:p>
    <w:p>
      <w:pPr>
        <w:pStyle w:val="FirstParagraph"/>
      </w:pPr>
      <w:r>
        <w:t xml:space="preserve">Because the full eligible population is observed, a detection-capacity analysis replaces a-priori power: the design could detect hazard ratios ≥1.07 and odds ratios ≥1.18 per SD (Supplementary Table S4), below typical effects in prior dropout research.</w:t>
      </w:r>
      <w:r>
        <w:rPr>
          <w:vertAlign w:val="superscript"/>
        </w:rPr>
        <w:t xml:space="preserve">23</w:t>
      </w:r>
      <w:r>
        <w:t xml:space="preserve"> </w:t>
      </w:r>
      <w:r>
        <w:t xml:space="preserve">Baseline Tyrving was missing for 2 athletes (0.1%), both without registered sex; other variables were complete. The primary analysis is complete-case (n = 2,136), with multiple imputation (m = 20; Supplementary Methods S-M3) as sensitivity analysis (Supplementary Table S21; sample flow: Supplementary Table S12). Club-level confounding was probed via the intraclass correlation of volume across baseline clubs, club-clustered standard errors, a population-averaged model, and a refit with club random intercepts (Supplementary Table S22). The primary and secondary models were re-estimated separately by birth cohort, an internal replication within one register and national system.</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2,138 athletes (52.9% female): 1,309 in Cohort A and 829 in Cohort B, closely matched at baseline (mean Tyrving 816 and 836 and ~41% active at 17 in each; Table 1). Senior retention (≥1 season with ≥2 results at age 20+) was 15.8% in Cohort A and 17.0% in Cohort B (combined 16.3%). The proportion still active in 2024+ was 5.7% (A) and 10.5% (B), reflecting Cohort B’s shorter follow-up (fixed-window outcome at ages 20–22: 15.3% vs 16.5%; Supplementary Table S24). Of all 7,266 register athletes born 1998–2002 with a result at ages 13–14, the cohort is 29% but contains 80% of those with ten or more meets at those ages and 80% of later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(Table 2), plotted separately for eventual retainers (n = 348) and non-retainers (n = 1,790). The groups already differ at baseline (medians of 13 vs. 8 meets at age 13, and 16.5 vs. 8 at age 14), and from age 15 they diverge sharply: retainers peak at 19 meets and sustain that level through 17, while future dropouts fall from 8 to 3 to 0.</w:t>
      </w:r>
    </w:p>
    <w:p>
      <w:pPr>
        <w:pStyle w:val="BodyText"/>
      </w:pPr>
      <w:r>
        <w:t xml:space="preserve">Kaplan–Meier curves summarize the attrition (Supplementary Figure S2): half the cohort had its final active season within 2 years of baseline and 79% within 5, and sex-stratified curves overlap (log-rank</w:t>
      </w:r>
      <w:r>
        <w:t xml:space="preserve"> </w:t>
      </w:r>
      <w:r>
        <w:rPr>
          <w:i/>
          <w:iCs/>
        </w:rPr>
        <w:t xml:space="preserve">p</w:t>
      </w:r>
      <w:r>
        <w:t xml:space="preserve"> </w:t>
      </w:r>
      <w:r>
        <w:t xml:space="preserve">= .42). The annual exit rate peaked at ages 18–19 (28%), the first junior years. 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was the strongest predictor and made the largest unique contribution to prospective discrimination of senior retention 6–14 years later: OR = 2.04 per SD (95% CI [1.80, 2.32],</w:t>
      </w:r>
      <w:r>
        <w:rPr>
          <w:b/>
          <w:bCs/>
        </w:rPr>
        <w:t xml:space="preserve"> </w:t>
      </w:r>
      <w:r>
        <w:rPr>
          <w:b/>
          <w:bCs/>
          <w:i/>
          <w:iCs/>
        </w:rPr>
        <w:t xml:space="preserve">p</w:t>
      </w:r>
      <w:r>
        <w:rPr>
          <w:b/>
          <w:bCs/>
        </w:rPr>
        <w:t xml:space="preserve"> </w:t>
      </w:r>
      <w:r>
        <w:rPr>
          <w:b/>
          <w:bCs/>
        </w:rPr>
        <w:t xml:space="preserve">&lt; .001), cross-validated AUC = 0.767 (95% CI 0.737–0.797).</w:t>
      </w:r>
      <w:r>
        <w:t xml:space="preserve"> </w:t>
      </w:r>
      <w:r>
        <w:t xml:space="preserve">In the stepwise models (Table 3), CV-AUC was 0.535 (sex), 0.700 (+ Tyrving), 0.698 (+ HHI), and 0.767 (+ volume; increase 0.069, 95% CI 0.047–0.091; Supplementary Table S27), with well-calibrated predictions (calibration slope 0.98, calibration-in-the-large 0.00, Brier 0.117; Supplementary Table S23, Supplementary Figure S1). 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essentially unchanged (OR = 2.07 vs. 2.04). Of these covariates only birth quarter was associated with retention: conditional on performance and volume, relatively younger athletes were retained somewhat more often (linear trend OR = 1.16 per quarter, 95% CI [1.03, 1.31]; Supplementary Table S13). A quarter of volume variance lies between clubs (ICC = 0.27, 287 clubs), but club random intercepts, club-clustered standard errors and a population-averaged model gave similar volume estimates (OR = 2.10, 2.04 [1.75, 2.39] and 2.03; Supplementary Table S22), and folds grouped by club gave the same cross-validated AUC (0.766; Supplementary Table S26): the association holds within clubs and carries over to clubs not used for fitting.</w:t>
      </w:r>
    </w:p>
    <w:bookmarkEnd w:id="37"/>
    <w:bookmarkStart w:id="38" w:name="Xb605678fcb2abceaec1c001a4bcd0f3eaaa0fb1"/>
    <w:p>
      <w:pPr>
        <w:pStyle w:val="Heading2"/>
      </w:pPr>
      <w:r>
        <w:t xml:space="preserve">3.5 Within-athlete decline versus baseline heterogeneity</w:t>
      </w:r>
    </w:p>
    <w:p>
      <w:pPr>
        <w:pStyle w:val="FirstParagraph"/>
      </w:pPr>
      <w:r>
        <w:rPr>
          <w:b/>
          <w:bCs/>
        </w:rPr>
        <w:t xml:space="preserve">Early behavioral heterogeneity and within-athlete decline contribute independently; they are not substitutes.</w:t>
      </w:r>
      <w:r>
        <w:t xml:space="preserve"> </w:t>
      </w:r>
      <w:r>
        <w:t xml:space="preserve">Four analyses separate the two readings of Figure 2.</w:t>
      </w:r>
    </w:p>
    <w:p>
      <w:pPr>
        <w:pStyle w:val="BodyText"/>
      </w:pPr>
      <w:r>
        <w:t xml:space="preserve">First, level and change. Among athletes still competing at age 14 (≥1 result; 1,926; complete-case model n = 1,925), the age-14 volume level (OR = 2.51 per SD, 95% CI [2.17, 2.89]) and the change from age 14 to 15 (OR = 2.29 per SD increase, 95% CI [2.00, 2.62]; i.e., OR = 0.44 per SD, about 6.4 meets, of decline) contributed independently (both</w:t>
      </w:r>
      <w:r>
        <w:t xml:space="preserve"> </w:t>
      </w:r>
      <w:r>
        <w:rPr>
          <w:i/>
          <w:iCs/>
        </w:rPr>
        <w:t xml:space="preserve">p</w:t>
      </w:r>
      <w:r>
        <w:t xml:space="preserve"> </w:t>
      </w:r>
      <w:r>
        <w:t xml:space="preserve">&lt; .001); adding change raised pseudo-</w:t>
      </w:r>
      <w:r>
        <w:rPr>
          <w:i/>
          <w:iCs/>
        </w:rPr>
        <w:t xml:space="preserve">R</w:t>
      </w:r>
      <w:r>
        <w:t xml:space="preserve">² from 0.150 to 0.245 (Table 4; Supplementary Table S14).</w:t>
      </w:r>
    </w:p>
    <w:p>
      <w:pPr>
        <w:pStyle w:val="BodyText"/>
      </w:pPr>
      <w:r>
        <w:t xml:space="preserve">Second, because a change score spanning the exit could conflate decline with the exit itself, we repeated the test where no exit can contaminate it: among athletes still competing at age 16 (≥2 results; n = 1,088), volume at 15 (OR = 3.04, 95% CI [2.56, 3.62]) and change from 15 to 16 (OR = 1.87 per SD increase, 95% CI [1.60, 2.19]; 0.54 per SD of decline; both</w:t>
      </w:r>
      <w:r>
        <w:t xml:space="preserve"> </w:t>
      </w:r>
      <w:r>
        <w:rPr>
          <w:i/>
          <w:iCs/>
        </w:rPr>
        <w:t xml:space="preserve">p</w:t>
      </w:r>
      <w:r>
        <w:t xml:space="preserve"> </w:t>
      </w:r>
      <w:r>
        <w:t xml:space="preserve">&lt; .001) predicted senior status four or more years later: decline predicts exit among athletes who are all, at measurement, still active.</w:t>
      </w:r>
    </w:p>
    <w:p>
      <w:pPr>
        <w:pStyle w:val="BodyText"/>
      </w:pPr>
      <w:r>
        <w:t xml:space="preserve">Third, exit-aligned trajectories. Aligned to each dropout’s own final active season (n = 1,146 with final seasons at ages 15–19), median volumes at T−3, T−2, T−1, and T were 12, 10, 9, and 4 meets; 95% were still competing in their penultimate season, and among final seasons at 16+ (n = 800), 74% had a</w:t>
      </w:r>
      <w:r>
        <w:t xml:space="preserve"> </w:t>
      </w:r>
      <w:r>
        <w:rPr>
          <w:i/>
          <w:iCs/>
        </w:rPr>
        <w:t xml:space="preserve">reduced-but-nonzero</w:t>
      </w:r>
      <w:r>
        <w:t xml:space="preserve"> </w:t>
      </w:r>
      <w:r>
        <w:t xml:space="preserve">penultimate season relative to their earlier peak, 6.5% a gap year, and 20% exited from peak volume (Supplementary Table S19).</w:t>
      </w:r>
    </w:p>
    <w:p>
      <w:pPr>
        <w:pStyle w:val="BodyText"/>
      </w:pPr>
      <w:r>
        <w:t xml:space="preserve">Fourth, the athlete fixed-effects model (1,909 athletes; Supplementary Table S28, Supplementary Figure S5) placed volume 7% (95% CI 0–13%), 12% (5–19%), and 23% (16–31%) below each athlete’s own earlier level three, two, and one season(s) before the final active season, net of the common age profile; the decline steepened towards exit (</w:t>
      </w:r>
      <w:r>
        <w:rPr>
          <w:i/>
          <w:iCs/>
        </w:rPr>
        <w:t xml:space="preserve">p</w:t>
      </w:r>
      <w:r>
        <w:t xml:space="preserve"> </w:t>
      </w:r>
      <w:r>
        <w:t xml:space="preserve">&lt; .001) and was reproduced among exits at ages 17–19.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With behavior and performance both measured at ages 13–14, volume discriminated somewhat better than baseline performance: CV-AUC = 0.700 for sex + baseline Tyrving and 0.740 for sex + volume (difference 0.040, 95% CI 0.006–0.074; Supplementary Tables S15 and S27). The two were complementary: adding Tyrving to volume raised the AUC by 0.023 (0.007–0.038). With its within-baseline trajectory (change from 13 to 14), performance matched volume (0.737 vs. 0.736; n = 1,721). A within-event rank at the baseline meet, which removes Tyrving’s unequal demands across event groups (mean baseline-meet points 798 in sprints, 501 in throws), did no better than Tyrving (0.689).</w:t>
      </w:r>
    </w:p>
    <w:p>
      <w:pPr>
        <w:pStyle w:val="BodyText"/>
      </w:pPr>
      <w:r>
        <w:t xml:space="preserve">Volume and performance were moderately correlated (Spearman ρ = .35 with baseline Tyrving), but above-median volume was associated with higher senior retention within every baseline-Tyrving quartile, from 15.8% vs. 3.9% in the lowest to 38.1% vs. 13.5% in the highest (Supplementary Table S32).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still in their career at age 16 (final active season at 16 or later; n = 1,148), volume across ages 15–16 was the largest contributor to subsequent cessation risk (HR = 0.68 per SD, 95% CI [0.62, 0.74], C-index = 0.695; complete-case n = 1,147; Supplementary Table S8). The baseline-only Cox model (volume HR = 0.65 per SD, 95% CI [0.62, 0.69]; Supplementary Tables S10 and S16), the period-specific decomposition (Table 5), and the remaining descriptive analyses (Supplementary Tables S1, S6, S11, S17; Supplementary Figure S4) are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A prospective rule can be evaluated at the end of the age-14 season (Table 6). At a moderate candidate threshold (vol &lt; 10 meets across ages 13–14, flagging 27.3%), senior retention was 5.5% among flagged athletes versus 20.3% among unflagged, a 3.7-fold difference in retention prospects (PPV = 0.95, sensitivity = 0.31); lower (&lt; 5) and higher (&lt; 15) thresholds narrow or broaden the screen. Two properties discipline use: PPV partly reflects the 84% base rate (~11-point precision gain), and NPV = 0.20 means unflagged athletes are</w:t>
      </w:r>
      <w:r>
        <w:t xml:space="preserve"> </w:t>
      </w:r>
      <w:r>
        <w:rPr>
          <w:i/>
          <w:iCs/>
        </w:rPr>
        <w:t xml:space="preserve">not</w:t>
      </w:r>
      <w:r>
        <w:t xml:space="preserve"> </w:t>
      </w:r>
      <w:r>
        <w:t xml:space="preserve">“safe”</w:t>
      </w:r>
      <w:r>
        <w:t xml:space="preserve">: four in five also fail to retain. 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at ages 13–14) was associated with higher senior retention only once volume was in the model (OR = 1.18 per SD, 95% CI [1.04, 1.34]; without volume, 1.00), only in Cohort B (1.32; Cohort A 1.07 [0.90, 1.28]), without gain in discrimination (ΔAUC = −0.002 without volume and 0.004 [−0.003, 0.010] with it), and not once performance in the athlete’s main event category was controlled (1.07 [0.94, 1.23]; Supplementary Table S18). Because HHI is bounded below by 1/(result count), we stress-tested for count-dependence; the association was unchanged under restriction to ≥5 and ≥8 results at ages 13–14 (OR = 1.17, 1.17) and a finite-sample-corrected index (OR = 1.20, 95% CI [1.05, 1.35]; Supplementary Table S20). The index captures concentration</w:t>
      </w:r>
      <w:r>
        <w:t xml:space="preserve"> </w:t>
      </w:r>
      <w:r>
        <w:rPr>
          <w:i/>
          <w:iCs/>
        </w:rPr>
        <w:t xml:space="preserve">within</w:t>
      </w:r>
      <w:r>
        <w:t xml:space="preserve"> </w:t>
      </w:r>
      <w:r>
        <w:t xml:space="preserve">track and field, not multisport diversification (§4.6).</w:t>
      </w:r>
    </w:p>
    <w:bookmarkEnd w:id="42"/>
    <w:bookmarkStart w:id="43" w:name="Xc24900d152d1ea4b537c2240c8708c9c2bfa41a"/>
    <w:p>
      <w:pPr>
        <w:pStyle w:val="Heading2"/>
      </w:pPr>
      <w:r>
        <w:t xml:space="preserve">3.10 Internal cohort replication and sensitivity</w:t>
      </w:r>
    </w:p>
    <w:p>
      <w:pPr>
        <w:pStyle w:val="FirstParagraph"/>
      </w:pPr>
      <w:r>
        <w:t xml:space="preserve">Re-estimated by cohort, the pre-milestone volume effect was reproduced: Cohort A OR = 2.03 (95% CI [1.72, 2.38]), Cohort B OR = 2.10 (95% CI [1.71, 2.58]), both</w:t>
      </w:r>
      <w:r>
        <w:t xml:space="preserve"> </w:t>
      </w:r>
      <w:r>
        <w:rPr>
          <w:i/>
          <w:iCs/>
        </w:rPr>
        <w:t xml:space="preserve">p</w:t>
      </w:r>
      <w:r>
        <w:t xml:space="preserve"> </w:t>
      </w:r>
      <w:r>
        <w:t xml:space="preserve">&lt; .001 (Table 7); female sex predicted lower and baseline performance higher retention in both cohorts.</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1.95, 2.04, 1.87 across the three definitions; Supplementary Table S9), to the fixed-window outcome (ages 20–22: OR = 2.08; Supplementary Table S24), to multiple imputation (Supplementary Table S21), to treating temporary gaps as exits (Cox HR 0.65, 0.62, 0.62; Supplementary Table S30; only 4.4% of athletes who missed two consecutive seasons ever returned), and to club-clustered standard errors (Supplementary Table S22). The E-value for unmeasured confounding is 2.2 (confidence limit 2.0; Supplementary Table S3): a confounder would need risk-ratio associations of ≈2.2 with both early volume and retention, stronger than any measured covariate.</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2,138 young athletes. First, competition volume at ages 13–14 was strongly and prospectively associated with retaining senior competition, more strongly than performance measured in the same window, which nonetheless added complementary information. Second, the association was reproduced in both birth cohorts and withstood structural controls, club random effects, club-clustered and club-grouped validation, and multiple imputation. Third, the dropout signal decomposed into two components: early behavioral heterogeneity visible at 13–14, and a within-athlete decline in competition participation before exit. Most dropouts tapered (median 12 → 10 → 9 → 4 meets across their last four seasons), falling below their own earlier level before exit, and decline predicted exit even among athletes all still active at 16. Fourth, event-category concentration within track and field was not robustly associated with retention once performance in the athlete’s main event was taken into account.</w:t>
      </w:r>
    </w:p>
    <w:bookmarkEnd w:id="45"/>
    <w:bookmarkStart w:id="46" w:name="X6e10a14ec842d509e460c37e9b714f61dcf7446"/>
    <w:p>
      <w:pPr>
        <w:pStyle w:val="Heading2"/>
      </w:pPr>
      <w:r>
        <w:t xml:space="preserve">4.2 Competition volume and performance carry complementary information</w:t>
      </w:r>
    </w:p>
    <w:p>
      <w:pPr>
        <w:pStyle w:val="FirstParagraph"/>
      </w:pPr>
      <w:r>
        <w:t xml:space="preserve">Competition volume discriminated senior retention somewhat better than performance (Tyrving score) measured in the same window (AUC difference 0.040, 95% CI 0.006–0.074), but the two were complementary, and with its within-baseline trajectory performance matched volume (Section 3.6): Hypothesis 2 holds in a weak form, behavior discriminating at least as well as performance, not instead of it. Performance reflects capability; volume reflects the athlete’s own choices about taking part, and those choices carry at least as much information about later retention as capability does, and partly different information. Two caveats: volume is a near-noiseless count while Tyrving is a scored maximum whose norms are not equally demanding across event groups, so part of the gap could be measurement precision (a within-event rank did not close it, and the within-stratum effects argue not all of it); and predictor and outcome both index registered activity, so volume’s advantage describes when disengagement becomes observable, not a causal mechanism.</w:t>
      </w:r>
    </w:p>
    <w:p>
      <w:pPr>
        <w:pStyle w:val="BodyText"/>
      </w:pPr>
      <w:r>
        <w:t xml:space="preserve">Low or declining volume can also have causes unrelated to waning engagement: cost, cited more often by youth from less-resourced families</w:t>
      </w:r>
      <w:r>
        <w:rPr>
          <w:vertAlign w:val="superscript"/>
        </w:rPr>
        <w:t xml:space="preserve">10</w:t>
      </w:r>
      <w:r>
        <w:t xml:space="preserve"> </w:t>
      </w:r>
      <w:r>
        <w:t xml:space="preserve">but attenuated here (clubs pay entry fees, travel is short); injury, the most frequently mentioned dropout reason in the 25-year Norwegian track-and-field follow-up (24.3%)</w:t>
      </w:r>
      <w:r>
        <w:rPr>
          <w:vertAlign w:val="superscript"/>
        </w:rPr>
        <w:t xml:space="preserve">3</w:t>
      </w:r>
      <w:r>
        <w:t xml:space="preserve">; a move to another sport (§4.4); or school constraints. All leave the same register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 Decline is visible within athletes, and so is early heterogeneity</w:t>
      </w:r>
    </w:p>
    <w:p>
      <w:pPr>
        <w:pStyle w:val="FirstParagraph"/>
      </w:pPr>
      <w:r>
        <w:t xml:space="preserve">Is the divergence in Figure 2 a within-athlete decline, or early differentiation only, or an artifact of averaging abrupt exits at heterogeneous ages? The exit-aligned and fixed-effects analyses answer at the individual level: 95% of dropouts were still competing in their penultimate season, only 20% exited directly from peak volume, and volume fell below each athlete’s own earlier level in the two seasons before exit. The typical exit is preceded by declining participation, not a cliff, although the register shows the timing of this decline, not its reasons. Both components are nonetheless present: level and change carried independent information, also in the contamination-free window (Section 3.5),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declining volume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among athletes who remain formally involved: precisely what the exit-aligned trajectories show, a typical future dropout still competing, at reduced volume, for one or two seasons before the final exit. The register cannot observe the deliberation, but it can now observe its behavioral shape, thinning participation before exit, at the individual level.</w:t>
      </w:r>
    </w:p>
    <w:p>
      <w:pPr>
        <w:pStyle w:val="BodyText"/>
      </w:pPr>
      <w:r>
        <w:t xml:space="preserve">Two readings of the same footprint deserve equal standing: disengagement from sport (commitment erosion), or engagement reallocation, since ages 14–16 are when Norwegian multi-sport youth consolidate into one sport, the developmentally appropriate transitions that Battaglia et al.</w:t>
      </w:r>
      <w:r>
        <w:rPr>
          <w:vertAlign w:val="superscript"/>
        </w:rPr>
        <w:t xml:space="preserve">4</w:t>
      </w:r>
      <w:r>
        <w:t xml:space="preserve"> </w:t>
      </w:r>
      <w:r>
        <w:t xml:space="preserve">argue the dropout-as-crisis framing wrongly pathologizes. The register cannot separate them; Norwegian research is compatible with both, since involvement is strongly stratified</w:t>
      </w:r>
      <w:r>
        <w:rPr>
          <w:vertAlign w:val="superscript"/>
        </w:rPr>
        <w:t xml:space="preserve">11,12</w:t>
      </w:r>
      <w:r>
        <w:t xml:space="preserve"> </w:t>
      </w:r>
      <w:r>
        <w:t xml:space="preserve">and exit from organized sport can reclaim time and autonomy rather than mark a loss</w:t>
      </w:r>
      <w:r>
        <w:rPr>
          <w:vertAlign w:val="superscript"/>
        </w:rPr>
        <w:t xml:space="preserve">12</w:t>
      </w:r>
      <w:r>
        <w:t xml:space="preserve">. What the register shows is that</w:t>
      </w:r>
      <w:r>
        <w:t xml:space="preserve"> </w:t>
      </w:r>
      <w:r>
        <w:rPr>
          <w:i/>
          <w:iCs/>
        </w:rPr>
        <w:t xml:space="preserve">some</w:t>
      </w:r>
      <w:r>
        <w:t xml:space="preserve"> </w:t>
      </w:r>
      <w:r>
        <w:t xml:space="preserve">mechanism (erosion, reallocation, or constraint) leaves a footprint in registered activity before exit.</w:t>
      </w:r>
    </w:p>
    <w:bookmarkEnd w:id="48"/>
    <w:bookmarkStart w:id="49" w:name="sex-effect"/>
    <w:p>
      <w:pPr>
        <w:pStyle w:val="Heading2"/>
      </w:pPr>
      <w:r>
        <w:t xml:space="preserve">4.5 Sex effect</w:t>
      </w:r>
    </w:p>
    <w:p>
      <w:pPr>
        <w:pStyle w:val="FirstParagraph"/>
      </w:pPr>
      <w:r>
        <w:t xml:space="preserve">Unadjusted, Kaplan–Meier curves showed no clear sex difference (log-rank</w:t>
      </w:r>
      <w:r>
        <w:t xml:space="preserve"> </w:t>
      </w:r>
      <w:r>
        <w:rPr>
          <w:i/>
          <w:iCs/>
        </w:rPr>
        <w:t xml:space="preserve">p</w:t>
      </w:r>
      <w:r>
        <w:t xml:space="preserve"> </w:t>
      </w:r>
      <w:r>
        <w:t xml:space="preserve">= .42); adjusted, females retained at significantly lower odds in every layer of the primary model (OR = 0.75 sex-only, 0.56 full model; Table 3) and in both cohorts:</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 0.46 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was associated with greater senior retention only conditional on volume, only in the younger cohort, without discriminative value, and not once performance in the athlete’s main event was controlled (Section 3.9): concentrated athletes tend to be those who do well in their main event, and concentration itself adds little. Neither the association nor its absence speaks to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and an athlete concentrated within track and field may simultaneously be a multisport sampler. The across-sport evidence is in any case less settled than often assumed.</w:t>
      </w:r>
      <w:r>
        <w:rPr>
          <w:vertAlign w:val="superscript"/>
        </w:rPr>
        <w:t xml:space="preserve">36,37</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w:t>
      </w:r>
    </w:p>
    <w:p>
      <w:pPr>
        <w:pStyle w:val="BodyText"/>
      </w:pPr>
      <w:r>
        <w:rPr>
          <w:b/>
          <w:bCs/>
        </w:rPr>
        <w:t xml:space="preserve">(1) Register-based flagging at the end of the age-14 season.</w:t>
      </w:r>
      <w:r>
        <w:t xml:space="preserve"> </w:t>
      </w:r>
      <w:r>
        <w:t xml:space="preserve">Flag athletes whose ages-13–14 competition count falls below a candidate threshold. At &lt; 10 meets, the flag captures 27% of the cohort whose senior retention is 5.5%, versus 20.3% among the unflagged, a 3.7-fold difference computed automatically from data the federation already holds (Table 6; similar when derived in one birth cohort and applied to the other, Supplementary Table S29). Every flagged athlete is low-but-active (cohort entry guarantees a baseline meet), so the flag list is an outreach list. Sensitivity is 0.31, so most future dropouts are</w:t>
      </w:r>
      <w:r>
        <w:t xml:space="preserve"> </w:t>
      </w:r>
      <w:r>
        <w:rPr>
          <w:i/>
          <w:iCs/>
        </w:rPr>
        <w:t xml:space="preserve">not</w:t>
      </w:r>
      <w:r>
        <w:t xml:space="preserve"> </w:t>
      </w:r>
      <w:r>
        <w:t xml:space="preserve">flagged: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junior years, when the annual exit rate peaks.</w:t>
      </w:r>
    </w:p>
    <w:p>
      <w:pPr>
        <w:pStyle w:val="BodyText"/>
      </w:pPr>
      <w:r>
        <w:rPr>
          <w:b/>
          <w:bCs/>
        </w:rPr>
        <w:t xml:space="preserve">(3) Lower the cost side of the next competition cycle, as an offer and never as pressure.</w:t>
      </w:r>
      <w:r>
        <w:t xml:space="preserve"> </w:t>
      </w:r>
      <w:r>
        <w:t xml:space="preserve">The remaining levers are residual and psychological costs: membership and equipment support,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those choosing other priorities, for whom retention pressure would be misplaced; understanding</w:t>
      </w:r>
      <w:r>
        <w:t xml:space="preserve"> </w:t>
      </w:r>
      <w:r>
        <w:rPr>
          <w:i/>
          <w:iCs/>
        </w:rPr>
        <w:t xml:space="preserve">why</w:t>
      </w:r>
      <w:r>
        <w:t xml:space="preserve"> </w:t>
      </w:r>
      <w:r>
        <w:t xml:space="preserve">requires conversation, supported by commitment instruments such as the SCQ-2.</w:t>
      </w:r>
    </w:p>
    <w:p>
      <w:pPr>
        <w:pStyle w:val="BodyText"/>
      </w:pPr>
      <w:r>
        <w:rPr>
          <w:b/>
          <w:bCs/>
        </w:rPr>
        <w:t xml:space="preserve">(4) Be cautious about prescribing event diversification for retention.</w:t>
      </w:r>
      <w:r>
        <w:t xml:space="preserve"> </w:t>
      </w:r>
      <w:r>
        <w:t xml:space="preserve">Within-sport concentration was not associated with lower 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which the research-ethics exemption of Section 2.7 does not cover. Deployment would require a federation’s own legal basis and a data-protection impact assessment; flags visible to a designated officer rather than routinely to coaches; informed families with an opt-out; a retention limit for flag data; and attention to equity. The flag must be support-only: the same list that identifies whom to help could identify whom a stretched club quietly deprioritizes. These preconditions, and the untested intervention effect, are why the next step is a pilot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decline is therefore plausibly non-volitional, and the qualitative literature remains essential for</w:t>
      </w:r>
      <w:r>
        <w:t xml:space="preserve"> </w:t>
      </w:r>
      <w:r>
        <w:rPr>
          <w:i/>
          <w:iCs/>
        </w:rPr>
        <w:t xml:space="preserve">why</w:t>
      </w:r>
      <w:r>
        <w:t xml:space="preserve"> </w:t>
      </w:r>
      <w:r>
        <w:t xml:space="preserve">volume declines. Third, the target population is the engaged core, athletes entered for the regional 13–14 meet, not all young athletes; among casual participants outside the cohort, volume was also associated with retention (OR = 2.17 per 10 meets; Supplementary Table S31), but the thresholds and absolute rates apply to the engaged core. The three venues cover eastern, western, and mid Norway, with northern districts served by the mid-Norway venue. Fourth, predictor and outcome share a measurement scale; despite the baseline-only model, the change models, the exit-aligned and fixed-effects analyses, and the landmark analysis, structural overlap remains a conceptual limitation of register-only designs. Fifth, the post-baseline Cox specification violated proportional hazards (Schoenfeld χ² = 293.2); its estimates are descriptive only. Sixth, Tyrving norms are not equally demanding across event groups (throws and race walking score lower), and the HHI treats event categories symmetrically although they co-occur unevenly (98% of hurdlers also sprinted), so identical values can represent different combination patterns. Seventh, athletes born in 2002 have four senior seasons of observation (2022–2025), though the fixed-window outcome gives near-identical results. Eighth, the thresholds are candidates calibrated to a complete-register, open-entry, club-pays system; 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in the seasons before exit, and is no averaging artifact. The effect withstands structural, club-level, missing-data, and outcome-definition checks and is reproduced in both birth cohorts; early heterogeneity and within-athlete decline contribute independently, and baseline performance adds complementary information. The findings are consistent with, though do not by themselves confirm, accounts of withdrawal as a gradual deliberative process, and they yield a register-implementable targeting rule whose intervention value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1,309</w:t>
            </w:r>
          </w:p>
        </w:tc>
        <w:tc>
          <w:tcPr/>
          <w:p>
            <w:pPr>
              <w:pStyle w:val="Compact"/>
            </w:pPr>
            <w:r>
              <w:t xml:space="preserve">829</w:t>
            </w:r>
          </w:p>
        </w:tc>
        <w:tc>
          <w:tcPr/>
          <w:p>
            <w:pPr>
              <w:pStyle w:val="Compact"/>
            </w:pPr>
            <w:r>
              <w:t xml:space="preserve">2,138</w:t>
            </w:r>
          </w:p>
        </w:tc>
      </w:tr>
      <w:tr>
        <w:tc>
          <w:tcPr/>
          <w:p>
            <w:pPr>
              <w:pStyle w:val="Compact"/>
            </w:pPr>
            <w:r>
              <w:t xml:space="preserve">Male (n)</w:t>
            </w:r>
          </w:p>
        </w:tc>
        <w:tc>
          <w:tcPr/>
          <w:p>
            <w:pPr>
              <w:pStyle w:val="Compact"/>
            </w:pPr>
            <w:r>
              <w:t xml:space="preserve">608</w:t>
            </w:r>
          </w:p>
        </w:tc>
        <w:tc>
          <w:tcPr/>
          <w:p>
            <w:pPr>
              <w:pStyle w:val="Compact"/>
            </w:pPr>
            <w:r>
              <w:t xml:space="preserve">398</w:t>
            </w:r>
          </w:p>
        </w:tc>
        <w:tc>
          <w:tcPr/>
          <w:p>
            <w:pPr>
              <w:pStyle w:val="Compact"/>
            </w:pPr>
            <w:r>
              <w:t xml:space="preserve">1,006</w:t>
            </w:r>
          </w:p>
        </w:tc>
      </w:tr>
      <w:tr>
        <w:tc>
          <w:tcPr/>
          <w:p>
            <w:pPr>
              <w:pStyle w:val="Compact"/>
            </w:pPr>
            <w:r>
              <w:t xml:space="preserve">Female (n)</w:t>
            </w:r>
          </w:p>
        </w:tc>
        <w:tc>
          <w:tcPr/>
          <w:p>
            <w:pPr>
              <w:pStyle w:val="Compact"/>
            </w:pPr>
            <w:r>
              <w:t xml:space="preserve">700</w:t>
            </w:r>
          </w:p>
        </w:tc>
        <w:tc>
          <w:tcPr/>
          <w:p>
            <w:pPr>
              <w:pStyle w:val="Compact"/>
            </w:pPr>
            <w:r>
              <w:t xml:space="preserve">430</w:t>
            </w:r>
          </w:p>
        </w:tc>
        <w:tc>
          <w:tcPr/>
          <w:p>
            <w:pPr>
              <w:pStyle w:val="Compact"/>
            </w:pPr>
            <w:r>
              <w:t xml:space="preserve">1,130</w:t>
            </w:r>
          </w:p>
        </w:tc>
      </w:tr>
      <w:tr>
        <w:tc>
          <w:tcPr/>
          <w:p>
            <w:pPr>
              <w:pStyle w:val="Compact"/>
            </w:pPr>
            <w:r>
              <w:t xml:space="preserve">Sex unknown (n)</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or later (%)</w:t>
            </w:r>
          </w:p>
        </w:tc>
        <w:tc>
          <w:tcPr/>
          <w:p>
            <w:pPr>
              <w:pStyle w:val="Compact"/>
            </w:pPr>
            <w:r>
              <w:t xml:space="preserve">41.0</w:t>
            </w:r>
          </w:p>
        </w:tc>
        <w:tc>
          <w:tcPr/>
          <w:p>
            <w:pPr>
              <w:pStyle w:val="Compact"/>
            </w:pPr>
            <w:r>
              <w:t xml:space="preserve">41.3</w:t>
            </w:r>
          </w:p>
        </w:tc>
        <w:tc>
          <w:tcPr/>
          <w:p>
            <w:pPr>
              <w:pStyle w:val="Compact"/>
            </w:pPr>
            <w:r>
              <w:t xml:space="preserve">41.1</w:t>
            </w:r>
          </w:p>
        </w:tc>
      </w:tr>
      <w:tr>
        <w:tc>
          <w:tcPr/>
          <w:p>
            <w:pPr>
              <w:pStyle w:val="Compact"/>
            </w:pPr>
            <w:r>
              <w:t xml:space="preserve">Ever active at age 20+ (%)</w:t>
            </w:r>
          </w:p>
        </w:tc>
        <w:tc>
          <w:tcPr/>
          <w:p>
            <w:pPr>
              <w:pStyle w:val="Compact"/>
            </w:pPr>
            <w:r>
              <w:t xml:space="preserve">15.8</w:t>
            </w:r>
          </w:p>
        </w:tc>
        <w:tc>
          <w:tcPr/>
          <w:p>
            <w:pPr>
              <w:pStyle w:val="Compact"/>
            </w:pPr>
            <w:r>
              <w:t xml:space="preserve">17.0</w:t>
            </w:r>
          </w:p>
        </w:tc>
        <w:tc>
          <w:tcPr/>
          <w:p>
            <w:pPr>
              <w:pStyle w:val="Compact"/>
            </w:pPr>
            <w:r>
              <w:t xml:space="preserve">16.3</w:t>
            </w:r>
          </w:p>
        </w:tc>
      </w:tr>
      <w:tr>
        <w:tc>
          <w:tcPr/>
          <w:p>
            <w:pPr>
              <w:pStyle w:val="Compact"/>
            </w:pPr>
            <w:r>
              <w:t xml:space="preserve">Still active in 2024 or later (%)</w:t>
            </w:r>
          </w:p>
        </w:tc>
        <w:tc>
          <w:tcPr/>
          <w:p>
            <w:pPr>
              <w:pStyle w:val="Compact"/>
            </w:pPr>
            <w:r>
              <w:t xml:space="preserve">5.7</w:t>
            </w:r>
          </w:p>
        </w:tc>
        <w:tc>
          <w:tcPr/>
          <w:p>
            <w:pPr>
              <w:pStyle w:val="Compact"/>
            </w:pPr>
            <w:r>
              <w:t xml:space="preserve">10.5</w:t>
            </w:r>
          </w:p>
        </w:tc>
        <w:tc>
          <w:tcPr/>
          <w:p>
            <w:pPr>
              <w:pStyle w:val="Compact"/>
            </w:pPr>
            <w:r>
              <w:t xml:space="preserve">7.6</w:t>
            </w:r>
          </w:p>
        </w:tc>
      </w:tr>
      <w:tr>
        <w:tc>
          <w:tcPr/>
          <w:p>
            <w:pPr>
              <w:pStyle w:val="Compact"/>
            </w:pPr>
            <w:r>
              <w:t xml:space="preserve">Mean Tyrving best at baseline</w:t>
            </w:r>
          </w:p>
        </w:tc>
        <w:tc>
          <w:tcPr/>
          <w:p>
            <w:pPr>
              <w:pStyle w:val="Compact"/>
            </w:pPr>
            <w:r>
              <w:t xml:space="preserve">816</w:t>
            </w:r>
          </w:p>
        </w:tc>
        <w:tc>
          <w:tcPr/>
          <w:p>
            <w:pPr>
              <w:pStyle w:val="Compact"/>
            </w:pPr>
            <w:r>
              <w:t xml:space="preserve">836</w:t>
            </w:r>
          </w:p>
        </w:tc>
        <w:tc>
          <w:tcPr/>
          <w:p>
            <w:pPr>
              <w:pStyle w:val="Compact"/>
            </w:pPr>
            <w:r>
              <w:t xml:space="preserve">824</w:t>
            </w:r>
          </w:p>
        </w:tc>
      </w:tr>
      <w:tr>
        <w:tc>
          <w:tcPr/>
          <w:p>
            <w:pPr>
              <w:pStyle w:val="Compact"/>
            </w:pPr>
            <w:r>
              <w:t xml:space="preserve">Median total meets, ages 13–14 (pre-milestone volume)</w:t>
            </w:r>
          </w:p>
        </w:tc>
        <w:tc>
          <w:tcPr/>
          <w:p>
            <w:pPr>
              <w:pStyle w:val="Compact"/>
            </w:pPr>
            <w:r>
              <w:t xml:space="preserve">15</w:t>
            </w:r>
          </w:p>
        </w:tc>
        <w:tc>
          <w:tcPr/>
          <w:p>
            <w:pPr>
              <w:pStyle w:val="Compact"/>
            </w:pPr>
            <w:r>
              <w:t xml:space="preserve">18</w:t>
            </w:r>
          </w:p>
        </w:tc>
        <w:tc>
          <w:tcPr/>
          <w:p>
            <w:pPr>
              <w:pStyle w:val="Compact"/>
            </w:pPr>
            <w:r>
              <w:t xml:space="preserve">17</w:t>
            </w:r>
          </w:p>
        </w:tc>
      </w:tr>
    </w:tbl>
    <w:p>
      <w:pPr>
        <w:pStyle w:val="BodyText"/>
      </w:pPr>
      <w:r>
        <w:rPr>
          <w:i/>
          <w:iCs/>
        </w:rPr>
        <w:t xml:space="preserve">Note.</w:t>
      </w:r>
      <w:r>
        <w:t xml:space="preserve"> </w:t>
      </w:r>
      <w:r>
        <w:t xml:space="preserve">“Active at age 17 or later”</w:t>
      </w:r>
      <w:r>
        <w:t xml:space="preserve"> </w:t>
      </w:r>
      <w:r>
        <w:t xml:space="preserve">indicates an active season (≥2 registered results in a calendar year) at age 17 or later;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 all baseline events scored with implement- and hurdle-specific norms and the workbook’s own formulas (Supplementary Methods S-M3). Meets are counted as competition days (Section 2.4.3).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[6–20]</w:t>
            </w:r>
          </w:p>
        </w:tc>
        <w:tc>
          <w:tcPr/>
          <w:p>
            <w:pPr>
              <w:pStyle w:val="Compact"/>
            </w:pPr>
            <w:r>
              <w:t xml:space="preserve">16.5 [10–24]</w:t>
            </w:r>
          </w:p>
        </w:tc>
        <w:tc>
          <w:tcPr/>
          <w:p>
            <w:pPr>
              <w:pStyle w:val="Compact"/>
            </w:pPr>
            <w: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(competition days)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0.75</w:t>
            </w:r>
          </w:p>
        </w:tc>
        <w:tc>
          <w:tcPr/>
          <w:p>
            <w:pPr>
              <w:pStyle w:val="Compact"/>
            </w:pPr>
            <w:r>
              <w:t xml:space="preserve">[0.60, 0.95]</w:t>
            </w:r>
          </w:p>
        </w:tc>
        <w:tc>
          <w:tcPr/>
          <w:p>
            <w:pPr>
              <w:pStyle w:val="Compact"/>
            </w:pPr>
            <w:r>
              <w:t xml:space="preserve">.016</w:t>
            </w:r>
          </w:p>
        </w:tc>
        <w:tc>
          <w:tcPr/>
          <w:p>
            <w:pPr>
              <w:pStyle w:val="Compact"/>
            </w:pPr>
            <w:r>
              <w:t xml:space="preserve">0.535 [0.506, 0.565]</w:t>
            </w:r>
          </w:p>
        </w:tc>
        <w:tc>
          <w:tcPr/>
          <w:p>
            <w:pPr>
              <w:pStyle w:val="Compact"/>
            </w:pPr>
            <w:r>
              <w:t xml:space="preserve">2,136</w:t>
            </w:r>
          </w:p>
        </w:tc>
      </w:tr>
      <w:tr>
        <w:tc>
          <w:tcPr/>
          <w:p>
            <w:pPr>
              <w:pStyle w:val="Compact"/>
            </w:pPr>
            <w:r>
              <w:t xml:space="preserve">L2: + Performance</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0.700 [0.671, 0.730]</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t xml:space="preserve">L3: + Event concentration</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0.698 [0.668, 0.728]</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1.00</w:t>
            </w:r>
          </w:p>
        </w:tc>
        <w:tc>
          <w:tcPr/>
          <w:p>
            <w:pPr>
              <w:pStyle w:val="Compact"/>
            </w:pPr>
            <w:r>
              <w:t xml:space="preserve">[0.89, 1.13]</w:t>
            </w:r>
          </w:p>
        </w:tc>
        <w:tc>
          <w:tcPr/>
          <w:p>
            <w:pPr>
              <w:pStyle w:val="Compact"/>
            </w:pPr>
            <w: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c>
          <w:tcPr/>
          <w:p>
            <w:pPr>
              <w:pStyle w:val="Compact"/>
            </w:pPr>
            <w:r>
              <w:rPr>
                <w:b/>
                <w:bCs/>
              </w:rPr>
              <w:t xml:space="preserve">0.767</w:t>
            </w:r>
            <w:r>
              <w:t xml:space="preserve"> </w:t>
            </w:r>
            <w:r>
              <w:t xml:space="preserve">[0.737, 0.797]</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1.18</w:t>
            </w:r>
          </w:p>
        </w:tc>
        <w:tc>
          <w:tcPr/>
          <w:p>
            <w:pPr>
              <w:pStyle w:val="Compact"/>
            </w:pPr>
            <w:r>
              <w:t xml:space="preserve">[1.04, 1.34]</w:t>
            </w:r>
          </w:p>
        </w:tc>
        <w:tc>
          <w:tcPr/>
          <w:p>
            <w:pPr>
              <w:pStyle w:val="Compact"/>
            </w:pPr>
            <w: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2.04</w:t>
            </w:r>
          </w:p>
        </w:tc>
        <w:tc>
          <w:tcPr/>
          <w:p>
            <w:pPr>
              <w:pStyle w:val="Compact"/>
            </w:pPr>
            <w:r>
              <w:rPr>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including HHI (results at ages 13–14). Pre-milestone volume is the number of meets (competition days) at ages 13 and 14. Continuous covariates are z-standardized so ORs reflect per-SD effects. CV-AUC: mean of fold-level AUCs from stratified 5-fold cross-validation repeated 20 times, with standardization inside the training folds; 95% CI from the corrected resampled t (Supplementary Methods S-M4). Adding volume raised the AUC by 0.069 (95% CI 0.047 to 0.091; Supplementary Table S27). HHI is associated with retention only once volume is entered, does not improve discrimination, and is not robust to performance in the athlete’s main event category (Supplementary Table S18;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2.05</w:t>
            </w:r>
          </w:p>
        </w:tc>
        <w:tc>
          <w:tcPr/>
          <w:p>
            <w:pPr>
              <w:pStyle w:val="Compact"/>
            </w:pPr>
            <w:r>
              <w:rPr>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2.51</w:t>
            </w:r>
          </w:p>
        </w:tc>
        <w:tc>
          <w:tcPr/>
          <w:p>
            <w:pPr>
              <w:pStyle w:val="Compact"/>
            </w:pPr>
            <w:r>
              <w:rPr>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2.29</w:t>
            </w:r>
          </w:p>
        </w:tc>
        <w:tc>
          <w:tcPr/>
          <w:p>
            <w:pPr>
              <w:pStyle w:val="Compact"/>
            </w:pPr>
            <w:r>
              <w:rPr>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t xml:space="preserve">Change = volume at 15 minus volume at 14 (positive = increase; mean −2.2, SD 6.4 meets). The OR of 2.29 per SD increase is equivalent to OR = 0.44 [0.38, 0.50] per SD of greater decline (about 6.4 fewer meets), conditional on the level at age 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with a result at 14 lacks registered sex or a Tyrving score (sample n = 1,925). Both baseline level and within-athlete decline 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t xml:space="preserve">0.70 [0.62, 0.79]</w:t>
            </w:r>
          </w:p>
        </w:tc>
        <w:tc>
          <w:tcPr/>
          <w:p>
            <w:pPr>
              <w:pStyle w:val="Compact"/>
            </w:pPr>
            <w:r>
              <w:t xml:space="preserve">0.93 [0.77, 1.12]</w:t>
            </w:r>
          </w:p>
        </w:tc>
      </w:tr>
      <w:tr>
        <w:tc>
          <w:tcPr/>
          <w:p>
            <w:pPr>
              <w:pStyle w:val="Compact"/>
            </w:pPr>
            <w:r>
              <w:t xml:space="preserve">Championship types (count)</w:t>
            </w:r>
          </w:p>
        </w:tc>
        <w:tc>
          <w:tcPr/>
          <w:p>
            <w:pPr>
              <w:pStyle w:val="Compact"/>
            </w:pPr>
            <w:r>
              <w:t xml:space="preserve">0.79 [0.73, 0.86]</w:t>
            </w:r>
          </w:p>
        </w:tc>
        <w:tc>
          <w:tcPr/>
          <w:p>
            <w:pPr>
              <w:pStyle w:val="Compact"/>
            </w:pPr>
            <w:r>
              <w:t xml:space="preserve">0.93 [0.81, 1.06]</w:t>
            </w:r>
          </w:p>
        </w:tc>
        <w:tc>
          <w:tcPr/>
          <w:p>
            <w:pPr>
              <w:pStyle w:val="Compact"/>
            </w:pPr>
            <w:r>
              <w:t xml:space="preserve">0.78 [0.61, 0.99]</w:t>
            </w:r>
          </w:p>
        </w:tc>
      </w:tr>
      <w:tr>
        <w:tc>
          <w:tcPr/>
          <w:p>
            <w:pPr>
              <w:pStyle w:val="Compact"/>
            </w:pPr>
            <w:r>
              <w:t xml:space="preserve">Tyrving (z)</w:t>
            </w:r>
          </w:p>
        </w:tc>
        <w:tc>
          <w:tcPr/>
          <w:p>
            <w:pPr>
              <w:pStyle w:val="Compact"/>
            </w:pPr>
            <w:r>
              <w:t xml:space="preserve">0.93 [0.89, 0.98]</w:t>
            </w:r>
          </w:p>
        </w:tc>
        <w:tc>
          <w:tcPr/>
          <w:p>
            <w:pPr>
              <w:pStyle w:val="Compact"/>
            </w:pPr>
            <w:r>
              <w:t xml:space="preserve">0.84 [0.76, 0.94]</w:t>
            </w:r>
          </w:p>
        </w:tc>
        <w:tc>
          <w:tcPr/>
          <w:p>
            <w:pPr>
              <w:pStyle w:val="Compact"/>
            </w:pPr>
            <w:r>
              <w:t xml:space="preserve">1.05 [0.85, 1.28]</w:t>
            </w:r>
          </w:p>
        </w:tc>
      </w:tr>
      <w:tr>
        <w:tc>
          <w:tcPr/>
          <w:p>
            <w:pPr>
              <w:pStyle w:val="Compact"/>
            </w:pPr>
            <w:r>
              <w:t xml:space="preserve">HHI, ages 13–14 (z)</w:t>
            </w:r>
          </w:p>
        </w:tc>
        <w:tc>
          <w:tcPr/>
          <w:p>
            <w:pPr>
              <w:pStyle w:val="Compact"/>
            </w:pPr>
            <w:r>
              <w:t xml:space="preserve">1.03 [0.98, 1.09]</w:t>
            </w:r>
          </w:p>
        </w:tc>
        <w:tc>
          <w:tcPr/>
          <w:p>
            <w:pPr>
              <w:pStyle w:val="Compact"/>
            </w:pPr>
            <w:r>
              <w:t xml:space="preserve">0.90 [0.82, 0.99]</w:t>
            </w:r>
          </w:p>
        </w:tc>
        <w:tc>
          <w:tcPr/>
          <w:p>
            <w:pPr>
              <w:pStyle w:val="Compact"/>
            </w:pPr>
            <w:r>
              <w:t xml:space="preserve">1.00 [0.86, 1.16]</w:t>
            </w:r>
          </w:p>
        </w:tc>
      </w:tr>
      <w:tr>
        <w:tc>
          <w:tcPr/>
          <w:p>
            <w:pPr>
              <w:pStyle w:val="Compact"/>
            </w:pPr>
            <w:r>
              <w:t xml:space="preserve">Female</w:t>
            </w:r>
          </w:p>
        </w:tc>
        <w:tc>
          <w:tcPr/>
          <w:p>
            <w:pPr>
              <w:pStyle w:val="Compact"/>
            </w:pPr>
            <w:r>
              <w:t xml:space="preserve">1.07 [0.96, 1.19]</w:t>
            </w:r>
          </w:p>
        </w:tc>
        <w:tc>
          <w:tcPr/>
          <w:p>
            <w:pPr>
              <w:pStyle w:val="Compact"/>
            </w:pPr>
            <w:r>
              <w:t xml:space="preserve">1.48 [1.23, 1.78]</w:t>
            </w:r>
          </w:p>
        </w:tc>
        <w:tc>
          <w:tcPr/>
          <w:p>
            <w:pPr>
              <w:pStyle w:val="Compact"/>
            </w:pPr>
            <w:r>
              <w:t xml:space="preserve">1.03 [0.76, 1.41]</w:t>
            </w:r>
          </w:p>
        </w:tc>
      </w:tr>
      <w:tr>
        <w:tc>
          <w:tcPr/>
          <w:p>
            <w:pPr>
              <w:pStyle w:val="Compact"/>
            </w:pPr>
            <w:r>
              <w:t xml:space="preserve">n at risk in interval</w:t>
            </w:r>
          </w:p>
        </w:tc>
        <w:tc>
          <w:tcPr/>
          <w:p>
            <w:pPr>
              <w:pStyle w:val="Compact"/>
            </w:pPr>
            <w:r>
              <w:t xml:space="preserve">2,136</w:t>
            </w:r>
          </w:p>
        </w:tc>
        <w:tc>
          <w:tcPr/>
          <w:p>
            <w:pPr>
              <w:pStyle w:val="Compact"/>
            </w:pPr>
            <w:r>
              <w:t xml:space="preserve">823</w:t>
            </w:r>
          </w:p>
        </w:tc>
        <w:tc>
          <w:tcPr/>
          <w:p>
            <w:pPr>
              <w:pStyle w:val="Compact"/>
            </w:pPr>
            <w:r>
              <w:t xml:space="preserve">335</w:t>
            </w:r>
          </w:p>
        </w:tc>
      </w:tr>
      <w:tr>
        <w:tc>
          <w:tcPr/>
          <w:p>
            <w:pPr>
              <w:pStyle w:val="Compact"/>
            </w:pPr>
            <w:r>
              <w:t xml:space="preserve">events in interval</w:t>
            </w:r>
          </w:p>
        </w:tc>
        <w:tc>
          <w:tcPr/>
          <w:p>
            <w:pPr>
              <w:pStyle w:val="Compact"/>
            </w:pPr>
            <w:r>
              <w:t xml:space="preserve">1,313</w:t>
            </w:r>
          </w:p>
        </w:tc>
        <w:tc>
          <w:tcPr/>
          <w:p>
            <w:pPr>
              <w:pStyle w:val="Compact"/>
            </w:pPr>
            <w:r>
              <w:t xml:space="preserve">488</w:t>
            </w:r>
          </w:p>
        </w:tc>
        <w:tc>
          <w:tcPr/>
          <w:p>
            <w:pPr>
              <w:pStyle w:val="Compact"/>
            </w:pPr>
            <w:r>
              <w:t xml:space="preserve">174</w:t>
            </w:r>
          </w:p>
        </w:tc>
      </w:tr>
      <w:tr>
        <w:tc>
          <w:tcPr/>
          <w:p>
            <w:pPr>
              <w:pStyle w:val="Compact"/>
            </w:pPr>
            <w:r>
              <w:t xml:space="preserve">C-index</w:t>
            </w:r>
          </w:p>
        </w:tc>
        <w:tc>
          <w:tcPr/>
          <w:p>
            <w:pPr>
              <w:pStyle w:val="Compact"/>
            </w:pPr>
            <w:r>
              <w:t xml:space="preserve">0.897</w:t>
            </w:r>
          </w:p>
        </w:tc>
        <w:tc>
          <w:tcPr/>
          <w:p>
            <w:pPr>
              <w:pStyle w:val="Compact"/>
            </w:pPr>
            <w:r>
              <w:t xml:space="preserve">0.660</w:t>
            </w:r>
          </w:p>
        </w:tc>
        <w:tc>
          <w:tcPr/>
          <w:p>
            <w:pPr>
              <w:pStyle w:val="Compact"/>
            </w:pPr>
            <w:r>
              <w:t xml:space="preserve">0.580</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 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9.5</w:t>
            </w:r>
          </w:p>
        </w:tc>
        <w:tc>
          <w:tcPr/>
          <w:p>
            <w:pPr>
              <w:pStyle w:val="Compact"/>
            </w:pPr>
            <w: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6.9% [3.7, 10.7]</w:t>
            </w:r>
          </w:p>
        </w:tc>
        <w:tc>
          <w:tcPr/>
          <w:p>
            <w:pPr>
              <w:pStyle w:val="Compact"/>
            </w:pPr>
            <w:r>
              <w:t xml:space="preserve">17.3% [15.6, 18.9]</w:t>
            </w:r>
          </w:p>
        </w:tc>
      </w:tr>
      <w:tr>
        <w:tc>
          <w:tcPr/>
          <w:p>
            <w:pPr>
              <w:pStyle w:val="Compact"/>
            </w:pPr>
            <w:r>
              <w:t xml:space="preserve">8 meets</w:t>
            </w:r>
          </w:p>
        </w:tc>
        <w:tc>
          <w:tcPr/>
          <w:p>
            <w:pPr>
              <w:pStyle w:val="Compact"/>
            </w:pPr>
            <w:r>
              <w:t xml:space="preserve">20.4</w:t>
            </w:r>
          </w:p>
        </w:tc>
        <w:tc>
          <w:tcPr/>
          <w:p>
            <w:pPr>
              <w:pStyle w:val="Compact"/>
            </w:pPr>
            <w:r>
              <w:t xml:space="preserve">0.23 [0.21, 0.25]</w:t>
            </w:r>
          </w:p>
        </w:tc>
        <w:tc>
          <w:tcPr/>
          <w:p>
            <w:pPr>
              <w:pStyle w:val="Compact"/>
            </w:pPr>
            <w:r>
              <w:t xml:space="preserve">0.93 [0.90, 0.96]</w:t>
            </w:r>
          </w:p>
        </w:tc>
        <w:tc>
          <w:tcPr/>
          <w:p>
            <w:pPr>
              <w:pStyle w:val="Compact"/>
            </w:pPr>
            <w:r>
              <w:rPr>
                <w:b/>
                <w:bCs/>
              </w:rPr>
              <w:t xml:space="preserve">0.95</w:t>
            </w:r>
            <w:r>
              <w:t xml:space="preserve"> </w:t>
            </w:r>
            <w:r>
              <w:t xml:space="preserve">[0.92, 0.97]</w:t>
            </w:r>
          </w:p>
        </w:tc>
        <w:tc>
          <w:tcPr/>
          <w:p>
            <w:pPr>
              <w:pStyle w:val="Compact"/>
            </w:pPr>
            <w:r>
              <w:t xml:space="preserve">0.19 [0.17, 0.21]</w:t>
            </w:r>
          </w:p>
        </w:tc>
        <w:tc>
          <w:tcPr/>
          <w:p>
            <w:pPr>
              <w:pStyle w:val="Compact"/>
            </w:pPr>
            <w:r>
              <w:t xml:space="preserve">5.5% [3.4, 7.8]</w:t>
            </w:r>
          </w:p>
        </w:tc>
        <w:tc>
          <w:tcPr/>
          <w:p>
            <w:pPr>
              <w:pStyle w:val="Compact"/>
            </w:pPr>
            <w:r>
              <w:t xml:space="preserve">19.0% [17.2, 20.9]</w:t>
            </w:r>
          </w:p>
        </w:tc>
      </w:tr>
      <w:tr>
        <w:tc>
          <w:tcPr/>
          <w:p>
            <w:pPr>
              <w:pStyle w:val="Compact"/>
            </w:pPr>
            <w:r>
              <w:t xml:space="preserve">10 meets</w:t>
            </w:r>
          </w:p>
        </w:tc>
        <w:tc>
          <w:tcPr/>
          <w:p>
            <w:pPr>
              <w:pStyle w:val="Compact"/>
            </w:pPr>
            <w:r>
              <w:t xml:space="preserve">27.3</w:t>
            </w:r>
          </w:p>
        </w:tc>
        <w:tc>
          <w:tcPr/>
          <w:p>
            <w:pPr>
              <w:pStyle w:val="Compact"/>
            </w:pPr>
            <w:r>
              <w:t xml:space="preserve">0.31 [0.29, 0.33]</w:t>
            </w:r>
          </w:p>
        </w:tc>
        <w:tc>
          <w:tcPr/>
          <w:p>
            <w:pPr>
              <w:pStyle w:val="Compact"/>
            </w:pPr>
            <w:r>
              <w:t xml:space="preserve">0.91 [0.88, 0.94]</w:t>
            </w:r>
          </w:p>
        </w:tc>
        <w:tc>
          <w:tcPr/>
          <w:p>
            <w:pPr>
              <w:pStyle w:val="Compact"/>
            </w:pPr>
            <w:r>
              <w:rPr>
                <w:b/>
                <w:bCs/>
              </w:rPr>
              <w:t xml:space="preserve">0.95</w:t>
            </w:r>
            <w:r>
              <w:t xml:space="preserve"> </w:t>
            </w:r>
            <w:r>
              <w:t xml:space="preserve">[0.93, 0.96]</w:t>
            </w:r>
          </w:p>
        </w:tc>
        <w:tc>
          <w:tcPr/>
          <w:p>
            <w:pPr>
              <w:pStyle w:val="Compact"/>
            </w:pPr>
            <w:r>
              <w:t xml:space="preserve">0.20 [0.18, 0.22]</w:t>
            </w:r>
          </w:p>
        </w:tc>
        <w:tc>
          <w:tcPr/>
          <w:p>
            <w:pPr>
              <w:pStyle w:val="Compact"/>
            </w:pPr>
            <w:r>
              <w:t xml:space="preserve">5.5% [3.7, 7.4]</w:t>
            </w:r>
          </w:p>
        </w:tc>
        <w:tc>
          <w:tcPr/>
          <w:p>
            <w:pPr>
              <w:pStyle w:val="Compact"/>
            </w:pPr>
            <w:r>
              <w:t xml:space="preserve">20.3% [18.3, 22.4]</w:t>
            </w:r>
          </w:p>
        </w:tc>
      </w:tr>
      <w:tr>
        <w:tc>
          <w:tcPr/>
          <w:p>
            <w:pPr>
              <w:pStyle w:val="Compact"/>
            </w:pPr>
            <w:r>
              <w:t xml:space="preserve">15 meets</w:t>
            </w:r>
          </w:p>
        </w:tc>
        <w:tc>
          <w:tcPr/>
          <w:p>
            <w:pPr>
              <w:pStyle w:val="Compact"/>
            </w:pPr>
            <w:r>
              <w:t xml:space="preserve">44.4</w:t>
            </w:r>
          </w:p>
        </w:tc>
        <w:tc>
          <w:tcPr/>
          <w:p>
            <w:pPr>
              <w:pStyle w:val="Compact"/>
            </w:pPr>
            <w:r>
              <w:t xml:space="preserve">0.49 [0.47, 0.52]</w:t>
            </w:r>
          </w:p>
        </w:tc>
        <w:tc>
          <w:tcPr/>
          <w:p>
            <w:pPr>
              <w:pStyle w:val="Compact"/>
            </w:pPr>
            <w:r>
              <w:t xml:space="preserve">0.80 [0.76, 0.85]</w:t>
            </w:r>
          </w:p>
        </w:tc>
        <w:tc>
          <w:tcPr/>
          <w:p>
            <w:pPr>
              <w:pStyle w:val="Compact"/>
            </w:pPr>
            <w:r>
              <w:rPr>
                <w:b/>
                <w:bCs/>
              </w:rPr>
              <w:t xml:space="preserve">0.93</w:t>
            </w:r>
            <w:r>
              <w:t xml:space="preserve"> </w:t>
            </w:r>
            <w:r>
              <w:t xml:space="preserve">[0.91, 0.94]</w:t>
            </w:r>
          </w:p>
        </w:tc>
        <w:tc>
          <w:tcPr/>
          <w:p>
            <w:pPr>
              <w:pStyle w:val="Compact"/>
            </w:pPr>
            <w:r>
              <w:t xml:space="preserve">0.24 [0.21, 0.26]</w:t>
            </w:r>
          </w:p>
        </w:tc>
        <w:tc>
          <w:tcPr/>
          <w:p>
            <w:pPr>
              <w:pStyle w:val="Compact"/>
            </w:pPr>
            <w: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2,138); brackets are 2,000-replicate bootstrap 95% CIs. PPV is the proportion of flagged athletes who subsequently failed to retain senior activity. The final two columns give the absolute retention contrast: at the &lt; 10 threshold, 5.5% among flagged vs. 20.3% among unflagged athletes (a 3.7-fold difference). The high PPV partly reflects the population’s 84% non-retention base rate (the threshold improves precision by ~11 percentage points over base-rate prediction), and the NPV of ≈ 0.20 means unflagged athletes are not</w:t>
      </w:r>
      <w:r>
        <w:t xml:space="preserve"> </w:t>
      </w:r>
      <w:r>
        <w:t xml:space="preserve">“safe”</w:t>
      </w:r>
      <w:r>
        <w:t xml:space="preserve">: roughly four in five of them also fail to retain. 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 Internal 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1,308</w:t>
            </w:r>
          </w:p>
        </w:tc>
        <w:tc>
          <w:tcPr/>
          <w:p>
            <w:pPr>
              <w:pStyle w:val="Compact"/>
            </w:pPr>
            <w:r>
              <w:t xml:space="preserve">Female</w:t>
            </w:r>
          </w:p>
        </w:tc>
        <w:tc>
          <w:tcPr/>
          <w:p>
            <w:pPr>
              <w:pStyle w:val="Compact"/>
            </w:pPr>
            <w:r>
              <w:t xml:space="preserve">0.57</w:t>
            </w:r>
          </w:p>
        </w:tc>
        <w:tc>
          <w:tcPr/>
          <w:p>
            <w:pPr>
              <w:pStyle w:val="Compact"/>
            </w:pPr>
            <w: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t xml:space="preserve">1.80</w:t>
            </w:r>
          </w:p>
        </w:tc>
        <w:tc>
          <w:tcPr/>
          <w:p>
            <w:pPr>
              <w:pStyle w:val="Compact"/>
            </w:pPr>
            <w:r>
              <w:t xml:space="preserve">[1.44, 2.25]</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1.07</w:t>
            </w:r>
          </w:p>
        </w:tc>
        <w:tc>
          <w:tcPr/>
          <w:p>
            <w:pPr>
              <w:pStyle w:val="Compact"/>
            </w:pPr>
            <w:r>
              <w:t xml:space="preserve">[0.90, 1.28]</w:t>
            </w:r>
          </w:p>
        </w:tc>
        <w:tc>
          <w:tcPr/>
          <w:p>
            <w:pPr>
              <w:pStyle w:val="Compact"/>
            </w:pPr>
            <w: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2.03</w:t>
            </w:r>
          </w:p>
        </w:tc>
        <w:tc>
          <w:tcPr/>
          <w:p>
            <w:pPr>
              <w:pStyle w:val="Compact"/>
            </w:pPr>
            <w:r>
              <w:rPr>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t xml:space="preserve">828</w:t>
            </w:r>
          </w:p>
        </w:tc>
        <w:tc>
          <w:tcPr/>
          <w:p>
            <w:pPr>
              <w:pStyle w:val="Compact"/>
            </w:pPr>
            <w:r>
              <w:t xml:space="preserve">Female</w:t>
            </w:r>
          </w:p>
        </w:tc>
        <w:tc>
          <w:tcPr/>
          <w:p>
            <w:pPr>
              <w:pStyle w:val="Compact"/>
            </w:pPr>
            <w:r>
              <w:t xml:space="preserve">0.55</w:t>
            </w:r>
          </w:p>
        </w:tc>
        <w:tc>
          <w:tcPr/>
          <w:p>
            <w:pPr>
              <w:pStyle w:val="Compact"/>
            </w:pPr>
            <w:r>
              <w:t xml:space="preserve">[0.37, 0.83]</w:t>
            </w:r>
          </w:p>
        </w:tc>
        <w:tc>
          <w:tcPr/>
          <w:p>
            <w:pPr>
              <w:pStyle w:val="Compact"/>
            </w:pPr>
            <w:r>
              <w:t xml:space="preserve">.005</w:t>
            </w:r>
          </w:p>
        </w:tc>
      </w:tr>
      <w:tr>
        <w:tc>
          <w:tcPr/>
          <w:p>
            <w:pPr>
              <w:pStyle w:val="Compact"/>
            </w:pPr>
          </w:p>
        </w:tc>
        <w:tc>
          <w:tcPr/>
          <w:p>
            <w:pPr>
              <w:pStyle w:val="Compact"/>
            </w:pPr>
          </w:p>
        </w:tc>
        <w:tc>
          <w:tcPr/>
          <w:p>
            <w:pPr>
              <w:pStyle w:val="Compact"/>
            </w:pPr>
            <w:r>
              <w:t xml:space="preserve">Tyrving (z)</w:t>
            </w:r>
          </w:p>
        </w:tc>
        <w:tc>
          <w:tcPr/>
          <w:p>
            <w:pPr>
              <w:pStyle w:val="Compact"/>
            </w:pPr>
            <w:r>
              <w:t xml:space="preserve">1.69</w:t>
            </w:r>
          </w:p>
        </w:tc>
        <w:tc>
          <w:tcPr/>
          <w:p>
            <w:pPr>
              <w:pStyle w:val="Compact"/>
            </w:pPr>
            <w:r>
              <w:t xml:space="preserve">[1.28, 2.24]</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1.32</w:t>
            </w:r>
          </w:p>
        </w:tc>
        <w:tc>
          <w:tcPr/>
          <w:p>
            <w:pPr>
              <w:pStyle w:val="Compact"/>
            </w:pPr>
            <w:r>
              <w:t xml:space="preserve">[1.10, 1.60]</w:t>
            </w:r>
          </w:p>
        </w:tc>
        <w:tc>
          <w:tcPr/>
          <w:p>
            <w:pPr>
              <w:pStyle w:val="Compact"/>
            </w:pPr>
            <w: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2.10</w:t>
            </w:r>
          </w:p>
        </w:tc>
        <w:tc>
          <w:tcPr/>
          <w:p>
            <w:pPr>
              <w:pStyle w:val="Compact"/>
            </w:pPr>
            <w:r>
              <w:rPr>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Both cohorts come from the same register and national system, so this is an internal replication. The pre-milestone volume effect and the performance association are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meaning-in-movement accounts, and the role-exit / withdrawal-as-process tradition (left) are not directly observed, but are predicted to leave a footprint in measurable competition behavior (centre), which precedes the outcome of active senior retention (right). Declining competition volume is a behavioral marker of disengagement, not a measure of it.</w:t>
      </w:r>
    </w:p>
    <w:p>
      <w:pPr>
        <w:pStyle w:val="BodyText"/>
      </w:pPr>
      <w:r>
        <w:rPr>
          <w:b/>
          <w:bCs/>
        </w:rPr>
        <w:t xml:space="preserve">Figure 2.</w:t>
      </w:r>
      <w:r>
        <w:t xml:space="preserve"> </w:t>
      </w:r>
      <w:r>
        <w:t xml:space="preserve">Competition volume trajectory by senior-retention status. Median competitions (competition days) per year (with interquartile range as shaded band) plotted by athlete age (13–18), separately for athletes who retained active senior status (≥2 results in any year at age ≥20; n = 348) and those who did not (n = 1,790).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In the highest stratum 22% were still active 14 years after baseline and 50% reached active senior status; in the lowest stratum, 0.3% and 0.8%.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2026-10-02T12:43:08Z</dcterms:created>
  <dcterms:modified xsi:type="dcterms:W3CDTF">2026-10-02T12:43:08Z</dcterms:modified>
</cp:coreProperties>
</file>

<file path=docProps/custom.xml><?xml version="1.0" encoding="utf-8"?>
<Properties xmlns="http://schemas.openxmlformats.org/officeDocument/2006/custom-properties" xmlns:vt="http://schemas.openxmlformats.org/officeDocument/2006/docPropsVTypes"/>
</file>