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3.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well over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p>
      <w:pPr>
        <w:pStyle w:val="BodyText"/>
      </w:pPr>
      <w:r>
        <w:t xml:space="preserve">What is known about</w:t>
      </w:r>
      <w:r>
        <w:t xml:space="preserve"> </w:t>
      </w:r>
      <w:r>
        <w:rPr>
          <w:i/>
          <w:iCs/>
        </w:rPr>
        <w:t xml:space="preserve">why</w:t>
      </w:r>
      <w:r>
        <w:t xml:space="preserve"> </w:t>
      </w:r>
      <w:r>
        <w:t xml:space="preserve">adolescents leave competitive sport comes overwhelmingly from interview-based and survey-based research. In a recent doctoral dissertation, Espedalen (2025) integrated three sub-studies of Norwegian youth handball and football into the argument that two distinct populations co-exist within organized youth sport: a small group of deeply committed athletes who have integrated sport into their identities, and a larger group oriented toward easily accessible enjoyment who readily move between activities. When the demands of organized sport — competitive selection, prescribed training volumes, narrowing event focus — escalate around the qualification milestone years (Norwegian Youth Championships, age 15-16; Junior National Championships, age 17-19), the second group withdraws. Espedalen’s account builds directly on Scanlan and colleagues’ Sport Commitment Model (Scanlan et al., 1993, 2016), Kretchmar’s (2000) concept of meaningful engagement, and Eliasson and Johansson’s (2021) interview-based characterization of withdrawal as a process — drawing on Ebaugh’s sociology of disengagement — that</w:t>
      </w:r>
      <w:r>
        <w:t xml:space="preserve"> </w:t>
      </w:r>
      <w:r>
        <w:t xml:space="preserve">“may be fairly long and emotional for young athletes, and less reversible the further into the process they progress”</w:t>
      </w:r>
      <w:r>
        <w:t xml:space="preserve"> </w:t>
      </w:r>
      <w:r>
        <w:t xml:space="preserve">(Eliasson &amp; Johansson, 2021, abstract).</w:t>
      </w:r>
    </w:p>
    <w:p>
      <w:pPr>
        <w:pStyle w:val="BodyText"/>
      </w:pPr>
      <w:r>
        <w:t xml:space="preserve">These accounts share three structural features. First, dropout is framed as</w:t>
      </w:r>
      <w:r>
        <w:t xml:space="preserve"> </w:t>
      </w:r>
      <w:r>
        <w:rPr>
          <w:i/>
          <w:iCs/>
        </w:rPr>
        <w:t xml:space="preserve">gradual</w:t>
      </w:r>
      <w:r>
        <w:t xml:space="preserve"> </w:t>
      </w:r>
      <w:r>
        <w:t xml:space="preserve">— a 1-2 year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necessarily leave because they cannot keep up with peers, but because the activity’s costs (time, identity, social demands)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p>
      <w:pPr>
        <w:pStyle w:val="BodyText"/>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The performance-vs-participation tradeoff has been theorized but rarely tested across the full adolescent window with a single behavioral metric. A consequence of this fragmentation is that the qualitative insight — that dropout is a longitudinal behavioral process — has remained untested with the kind of longitudinal behavioral data that would either corroborate or refute it.</w:t>
      </w:r>
    </w:p>
    <w:p>
      <w:pPr>
        <w:pStyle w:val="BodyText"/>
      </w:pPr>
      <w:r>
        <w:t xml:space="preserve">This paper provides that test. 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 (responders differ systematically from non-responders, and especially differ from those who have already left the sport).</w:t>
      </w:r>
    </w:p>
    <w:p>
      <w:pPr>
        <w:pStyle w:val="BodyText"/>
      </w:pPr>
      <w:r>
        <w:t xml:space="preserve">We use this register to address three questions. First, can the qualitative</w:t>
      </w:r>
      <w:r>
        <w:t xml:space="preserve"> </w:t>
      </w:r>
      <w:r>
        <w:rPr>
          <w:i/>
          <w:iCs/>
        </w:rPr>
        <w:t xml:space="preserve">two-groups</w:t>
      </w:r>
      <w:r>
        <w:t xml:space="preserve"> </w:t>
      </w:r>
      <w:r>
        <w:t xml:space="preserve">observation be detected in behavioral trajectories — that is, do future retainers and future dropouts diverge visibly in measurable engagement before formal exit? Second, which behavioral and performance indicators predict eventual senior retention (continuing to compete past age 20), and which add little once others are entered? Third, do the behavioral patterns replicate across cohorts that were 13-14 years old in different historical periods (2011–2014 vs. 2014–2016)?</w:t>
      </w:r>
    </w:p>
    <w:p>
      <w:pPr>
        <w:pStyle w:val="BodyText"/>
      </w:pPr>
      <w:r>
        <w:t xml:space="preserve">We address these questions in 2,123 Norwegian youth athletes followed for up to 14 years. The design treats competition-register data not as a substitute for survey research but as a complementary lens: surveys access subjective meaning; registers access objective behavior. Where the two converge — as we will argue they do — the case for any single account is strengthened.</w:t>
      </w:r>
    </w:p>
    <w:p>
      <w:r>
        <w:pict>
          <v:rect style="width:0;height:1.5pt" o:hralign="center" o:hrstd="t" o:hr="t"/>
        </w:pict>
      </w:r>
    </w:p>
    <w:bookmarkEnd w:id="10"/>
    <w:bookmarkStart w:id="23" w:name="method"/>
    <w:p>
      <w:pPr>
        <w:pStyle w:val="Heading2"/>
      </w:pPr>
      <w:r>
        <w:t xml:space="preserve">2. Method</w:t>
      </w:r>
    </w:p>
    <w:bookmarkStart w:id="11" w:name="design"/>
    <w:p>
      <w:pPr>
        <w:pStyle w:val="Heading3"/>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and we therefore frame statistical inference as descriptive of that population rather than as inference to a hypothetical superpopulation (Berk &amp; Freedman, 2003). Reporting follows STROBE guidance for observational studies (von Elm et al., 2007).</w:t>
      </w:r>
    </w:p>
    <w:bookmarkEnd w:id="11"/>
    <w:bookmarkStart w:id="12" w:name="setting-and-inclusion"/>
    <w:p>
      <w:pPr>
        <w:pStyle w:val="Heading3"/>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and venue rotation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2"/>
    <w:bookmarkStart w:id="13" w:name="follow-up-window"/>
    <w:p>
      <w:pPr>
        <w:pStyle w:val="Heading3"/>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3"/>
    <w:bookmarkStart w:id="19" w:name="variables"/>
    <w:p>
      <w:pPr>
        <w:pStyle w:val="Heading3"/>
      </w:pPr>
      <w:r>
        <w:t xml:space="preserve">2.4 Variables</w:t>
      </w:r>
    </w:p>
    <w:bookmarkStart w:id="14" w:name="outcome-variables"/>
    <w:p>
      <w:pPr>
        <w:pStyle w:val="Heading4"/>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4"/>
    <w:bookmarkStart w:id="15" w:name="performance-variables"/>
    <w:p>
      <w:pPr>
        <w:pStyle w:val="Heading4"/>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5"/>
    <w:bookmarkStart w:id="16" w:name="specialization-variables"/>
    <w:p>
      <w:pPr>
        <w:pStyle w:val="Heading4"/>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 HHI = Σ(s²ᵢ), where sᵢ is the share of that athlete’s results falling in category</w:t>
      </w:r>
      <w:r>
        <w:t xml:space="preserve"> </w:t>
      </w:r>
      <w:r>
        <w:rPr>
          <w:i/>
          <w:iCs/>
        </w:rPr>
        <w:t xml:space="preserve">i</w:t>
      </w:r>
      <w:r>
        <w:t xml:space="preserve">.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16"/>
    <w:bookmarkStart w:id="17" w:name="behavioral-engagement-variables"/>
    <w:p>
      <w:pPr>
        <w:pStyle w:val="Heading4"/>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17"/>
    <w:bookmarkStart w:id="18" w:name="control-variables"/>
    <w:p>
      <w:pPr>
        <w:pStyle w:val="Heading4"/>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18"/>
    <w:bookmarkEnd w:id="19"/>
    <w:bookmarkStart w:id="20" w:name="statistical-analysis"/>
    <w:p>
      <w:pPr>
        <w:pStyle w:val="Heading3"/>
      </w:pPr>
      <w:r>
        <w:t xml:space="preserve">2.5 Statistical analysis</w:t>
      </w:r>
    </w:p>
    <w:p>
      <w:pPr>
        <w:pStyle w:val="FirstParagraph"/>
      </w:pPr>
      <w:r>
        <w:t xml:space="preserve">Survival analysis used Kaplan–Meier estimators stratified by sex, competition-volume strata at age 15–16, and number of championship types. Cox proportional hazards models were fitted in a stepwise sequence to characterize the unique contribution of each variable class: M1 (sex only), M2 (+ performance), M3 (+ specialization), M4 (+ competition volume at milestone), and M5 (+ championship types). Concordance indices (C-index) gauged the discriminative gain at each step. Continuous covariates were standardized (z-scored) so that hazard ratios reflect per-SD effects.</w:t>
      </w:r>
    </w:p>
    <w:p>
      <w:pPr>
        <w:pStyle w:val="BodyText"/>
      </w:pPr>
      <w:r>
        <w:t xml:space="preserve">For non-parametric variable importance, we fit a random forest with 500 trees and maximum depth 8 to predict active senior status, with class weighting to handle outcome imbalance. Cross-validated AUCs (5-fold stratified) compared nested subsets of predictors: baseline-only (sex + Tyrving), specialization-only, competition-volume-only, pre-baseline behavioral combined, and the full predictor set.</w:t>
      </w:r>
    </w:p>
    <w:p>
      <w:pPr>
        <w:pStyle w:val="BodyText"/>
      </w:pPr>
      <w:r>
        <w:t xml:space="preserve">To assess</w:t>
      </w:r>
      <w:r>
        <w:t xml:space="preserve"> </w:t>
      </w:r>
      <w:r>
        <w:rPr>
          <w:b/>
          <w:bCs/>
        </w:rPr>
        <w:t xml:space="preserve">cross-cohort replication</w:t>
      </w:r>
      <w:r>
        <w:t xml:space="preserve">, we re-estimated the full Cox model separately within Cohort A (1998–2000) and Cohort B (2001–2002).</w:t>
      </w:r>
    </w:p>
    <w:p>
      <w:pPr>
        <w:pStyle w:val="BodyText"/>
      </w:pPr>
      <w:r>
        <w:t xml:space="preserve">All analyses used Python 3.13 with the lifelines package (Davidson-Pilon, 2024) for survival analysis and scikit-learn (Pedregosa et al., 2011) for random forests.</w:t>
      </w:r>
    </w:p>
    <w:bookmarkEnd w:id="20"/>
    <w:bookmarkStart w:id="21" w:name="sex-and-gender"/>
    <w:p>
      <w:pPr>
        <w:pStyle w:val="Heading3"/>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21"/>
    <w:bookmarkStart w:id="22" w:name="ethics-and-data-availability"/>
    <w:p>
      <w:pPr>
        <w:pStyle w:val="Heading3"/>
      </w:pPr>
      <w:r>
        <w:t xml:space="preserve">2.7 Ethics and data availability</w:t>
      </w:r>
    </w:p>
    <w:p>
      <w:pPr>
        <w:pStyle w:val="FirstParagraph"/>
      </w:pPr>
      <w:r>
        <w:t xml:space="preserve">The study uses only data that is publicly accessible via the Norwegian Athletics Federation’s competition register. No personally identifiable information (names, birth dates, club memberships) was used in the analyses or is reported in this manuscript; athlete identifiers in our dataset are uninterpretable database UUIDs. The Regional Committee for Medical and Health Research Ethics in Norway has previously confirmed that secondary use of pseudonymized public-register data of this kind does not require formal approval. Analysis code is available at [URL withheld for double-blind review].</w:t>
      </w:r>
    </w:p>
    <w:p>
      <w:r>
        <w:pict>
          <v:rect style="width:0;height:1.5pt" o:hralign="center" o:hrstd="t" o:hr="t"/>
        </w:pict>
      </w:r>
    </w:p>
    <w:bookmarkEnd w:id="22"/>
    <w:bookmarkEnd w:id="23"/>
    <w:bookmarkStart w:id="25" w:name="results"/>
    <w:p>
      <w:pPr>
        <w:pStyle w:val="Heading2"/>
      </w:pPr>
      <w:r>
        <w:t xml:space="preserve">3. Results</w:t>
      </w:r>
    </w:p>
    <w:bookmarkStart w:id="24" w:name="cohort-characteristics"/>
    <w:p>
      <w:pPr>
        <w:pStyle w:val="Heading3"/>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24"/>
    <w:bookmarkEnd w:id="25"/>
    <w:bookmarkStart w:id="41"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Start w:id="29" w:name="X15504d371bf1c5fc8d582464e9b595ff00055c8"/>
    <w:p>
      <w:pPr>
        <w:pStyle w:val="Heading3"/>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competing while pulling back, consistent with a gradual rather than abrupt withdrawal process.</w:t>
      </w:r>
    </w:p>
    <w:p>
      <w:pPr>
        <w:pStyle w:val="CaptionedFigure"/>
      </w:pPr>
      <w:r>
        <w:drawing>
          <wp:inline>
            <wp:extent cx="5334000" cy="3410682"/>
            <wp:effectExtent b="0" l="0" r="0" t="0"/>
            <wp:docPr descr="Figure 1" title="" id="27" name="Picture"/>
            <a:graphic>
              <a:graphicData uri="http://schemas.openxmlformats.org/drawingml/2006/picture">
                <pic:pic>
                  <pic:nvPicPr>
                    <pic:cNvPr descr="figures/fig1_volume_trajectory.png" id="28" name="Picture"/>
                    <pic:cNvPicPr>
                      <a:picLocks noChangeArrowheads="1" noChangeAspect="1"/>
                    </pic:cNvPicPr>
                  </pic:nvPicPr>
                  <pic:blipFill>
                    <a:blip r:embed="rId26"/>
                    <a:stretch>
                      <a:fillRect/>
                    </a:stretch>
                  </pic:blipFill>
                  <pic:spPr bwMode="auto">
                    <a:xfrm>
                      <a:off x="0" y="0"/>
                      <a:ext cx="5334000" cy="341068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(≥1 season with ≥2 results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bookmarkEnd w:id="29"/>
    <w:bookmarkStart w:id="39" w:name="survival-to-active-senior-age"/>
    <w:p>
      <w:pPr>
        <w:pStyle w:val="Heading3"/>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CaptionedFigure"/>
      </w:pPr>
      <w:r>
        <w:drawing>
          <wp:inline>
            <wp:extent cx="5334000" cy="2115700"/>
            <wp:effectExtent b="0" l="0" r="0" t="0"/>
            <wp:docPr descr="Figure 2" title="" id="31" name="Picture"/>
            <a:graphic>
              <a:graphicData uri="http://schemas.openxmlformats.org/drawingml/2006/picture">
                <pic:pic>
                  <pic:nvPicPr>
                    <pic:cNvPr descr="figures/fig2_km_overall_sex.png" id="32" name="Picture"/>
                    <pic:cNvPicPr>
                      <a:picLocks noChangeArrowheads="1" noChangeAspect="1"/>
                    </pic:cNvPicPr>
                  </pic:nvPicPr>
                  <pic:blipFill>
                    <a:blip r:embed="rId30"/>
                    <a:stretch>
                      <a:fillRect/>
                    </a:stretch>
                  </pic:blipFill>
                  <pic:spPr bwMode="auto">
                    <a:xfrm>
                      <a:off x="0" y="0"/>
                      <a:ext cx="5334000" cy="21157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CaptionedFigure"/>
      </w:pPr>
      <w:r>
        <w:drawing>
          <wp:inline>
            <wp:extent cx="5334000" cy="3675761"/>
            <wp:effectExtent b="0" l="0" r="0" t="0"/>
            <wp:docPr descr="Figure 3" title="" id="34" name="Picture"/>
            <a:graphic>
              <a:graphicData uri="http://schemas.openxmlformats.org/drawingml/2006/picture">
                <pic:pic>
                  <pic:nvPicPr>
                    <pic:cNvPr descr="figures/fig3_km_vol_quintile.png" id="35" name="Picture"/>
                    <pic:cNvPicPr>
                      <a:picLocks noChangeArrowheads="1" noChangeAspect="1"/>
                    </pic:cNvPicPr>
                  </pic:nvPicPr>
                  <pic:blipFill>
                    <a:blip r:embed="rId33"/>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CaptionedFigure"/>
      </w:pPr>
      <w:r>
        <w:drawing>
          <wp:inline>
            <wp:extent cx="5334000" cy="3985516"/>
            <wp:effectExtent b="0" l="0" r="0" t="0"/>
            <wp:docPr descr="Figure 4" title="" id="37" name="Picture"/>
            <a:graphic>
              <a:graphicData uri="http://schemas.openxmlformats.org/drawingml/2006/picture">
                <pic:pic>
                  <pic:nvPicPr>
                    <pic:cNvPr descr="figures/fig4_km_msk_typer.png" id="38" name="Picture"/>
                    <pic:cNvPicPr>
                      <a:picLocks noChangeArrowheads="1" noChangeAspect="1"/>
                    </pic:cNvPicPr>
                  </pic:nvPicPr>
                  <pic:blipFill>
                    <a:blip r:embed="rId36"/>
                    <a:stretch>
                      <a:fillRect/>
                    </a:stretch>
                  </pic:blipFill>
                  <pic:spPr bwMode="auto">
                    <a:xfrm>
                      <a:off x="0" y="0"/>
                      <a:ext cx="5334000" cy="398551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39"/>
    <w:bookmarkStart w:id="40" w:name="stepwise-cox-regression-volume-dominates"/>
    <w:p>
      <w:pPr>
        <w:pStyle w:val="Heading3"/>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bookmarkEnd w:id="40"/>
    <w:bookmarkEnd w:id="41"/>
    <w:bookmarkStart w:id="46"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The volume-at-milestone covariate produces the largest single-step C-index gain (0.573 → 0.846).</w:t>
      </w:r>
    </w:p>
    <w:p>
      <w:r>
        <w:pict>
          <v:rect style="width:0;height:1.5pt" o:hralign="center" o:hrstd="t" o:hr="t"/>
        </w:pict>
      </w:r>
    </w:p>
    <w:bookmarkStart w:id="45" w:name="Xed0d321f124eb97f2d9a6f707e3c7fd47d38636"/>
    <w:p>
      <w:pPr>
        <w:pStyle w:val="Heading3"/>
      </w:pPr>
      <w:r>
        <w:t xml:space="preserve">3.5 Random forest: volume features dominate variable importance</w:t>
      </w:r>
    </w:p>
    <w:p>
      <w:pPr>
        <w:pStyle w:val="FirstParagraph"/>
      </w:pPr>
      <w:r>
        <w:t xml:space="preserve">Random-forest variable importances (Figure 5; Table 4)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CaptionedFigure"/>
      </w:pPr>
      <w:r>
        <w:drawing>
          <wp:inline>
            <wp:extent cx="5334000" cy="4441004"/>
            <wp:effectExtent b="0" l="0" r="0" t="0"/>
            <wp:docPr descr="Figure 5" title="" id="43" name="Picture"/>
            <a:graphic>
              <a:graphicData uri="http://schemas.openxmlformats.org/drawingml/2006/picture">
                <pic:pic>
                  <pic:nvPicPr>
                    <pic:cNvPr descr="figures/fig5_rf_importance.png" id="44" name="Picture"/>
                    <pic:cNvPicPr>
                      <a:picLocks noChangeArrowheads="1" noChangeAspect="1"/>
                    </pic:cNvPicPr>
                  </pic:nvPicPr>
                  <pic:blipFill>
                    <a:blip r:embed="rId42"/>
                    <a:stretch>
                      <a:fillRect/>
                    </a:stretch>
                  </pic:blipFill>
                  <pic:spPr bwMode="auto">
                    <a:xfrm>
                      <a:off x="0" y="0"/>
                      <a:ext cx="5334000" cy="444100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Random forest variable importances (top 15) for predicting active senior status. Bars show the mean decrease in impurity across 500 trees; importances sum to 1 across all 22 features. The top six predictors are all volume- or trajectory-related; performance and specialization variables appear in middle positions; sex enters near the bottom of the ranking.</w:t>
      </w:r>
    </w:p>
    <w:bookmarkEnd w:id="45"/>
    <w:bookmarkEnd w:id="46"/>
    <w:bookmarkStart w:id="48" w:name="X1822f1116ce8db499c56baf1e4eea4396818994"/>
    <w:p>
      <w:pPr>
        <w:pStyle w:val="Heading2"/>
      </w:pPr>
      <w:r>
        <w:t xml:space="preserve">Table 4. Random forest variable importance (top 15) for senior retention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Feature</w:t>
            </w:r>
          </w:p>
        </w:tc>
        <w:tc>
          <w:tcPr/>
          <w:p>
            <w:pPr>
              <w:pStyle w:val="Compact"/>
            </w:pPr>
            <w:r>
              <w:t xml:space="preserve">Importance</w:t>
            </w:r>
          </w:p>
        </w:tc>
      </w:tr>
      <w:tr>
        <w:tc>
          <w:tcPr/>
          <w:p>
            <w:pPr>
              <w:pStyle w:val="Compact"/>
            </w:pPr>
            <w:r>
              <w:t xml:space="preserve">1</w:t>
            </w:r>
          </w:p>
        </w:tc>
        <w:tc>
          <w:tcPr/>
          <w:p>
            <w:pPr>
              <w:pStyle w:val="Compact"/>
            </w:pPr>
            <w:r>
              <w:t xml:space="preserve">Volume at age 16</w:t>
            </w:r>
          </w:p>
        </w:tc>
        <w:tc>
          <w:tcPr/>
          <w:p>
            <w:pPr>
              <w:pStyle w:val="Compact"/>
            </w:pPr>
            <w:r>
              <w:t xml:space="preserve">0.133</w:t>
            </w:r>
          </w:p>
        </w:tc>
      </w:tr>
      <w:tr>
        <w:tc>
          <w:tcPr/>
          <w:p>
            <w:pPr>
              <w:pStyle w:val="Compact"/>
            </w:pPr>
            <w:r>
              <w:t xml:space="preserve">2</w:t>
            </w:r>
          </w:p>
        </w:tc>
        <w:tc>
          <w:tcPr/>
          <w:p>
            <w:pPr>
              <w:pStyle w:val="Compact"/>
            </w:pPr>
            <w:r>
              <w:t xml:space="preserve">Composite volume at milestone (ages 15–16)</w:t>
            </w:r>
          </w:p>
        </w:tc>
        <w:tc>
          <w:tcPr/>
          <w:p>
            <w:pPr>
              <w:pStyle w:val="Compact"/>
            </w:pPr>
            <w:r>
              <w:t xml:space="preserve">0.126</w:t>
            </w:r>
          </w:p>
        </w:tc>
      </w:tr>
      <w:tr>
        <w:tc>
          <w:tcPr/>
          <w:p>
            <w:pPr>
              <w:pStyle w:val="Compact"/>
            </w:pPr>
            <w:r>
              <w:t xml:space="preserve">3</w:t>
            </w:r>
          </w:p>
        </w:tc>
        <w:tc>
          <w:tcPr/>
          <w:p>
            <w:pPr>
              <w:pStyle w:val="Compact"/>
            </w:pPr>
            <w:r>
              <w:t xml:space="preserve">Volume at age 15</w:t>
            </w:r>
          </w:p>
        </w:tc>
        <w:tc>
          <w:tcPr/>
          <w:p>
            <w:pPr>
              <w:pStyle w:val="Compact"/>
            </w:pPr>
            <w:r>
              <w:t xml:space="preserve">0.083</w:t>
            </w:r>
          </w:p>
        </w:tc>
      </w:tr>
      <w:tr>
        <w:tc>
          <w:tcPr/>
          <w:p>
            <w:pPr>
              <w:pStyle w:val="Compact"/>
            </w:pPr>
            <w:r>
              <w:t xml:space="preserve">4</w:t>
            </w:r>
          </w:p>
        </w:tc>
        <w:tc>
          <w:tcPr/>
          <w:p>
            <w:pPr>
              <w:pStyle w:val="Compact"/>
            </w:pPr>
            <w:r>
              <w:t xml:space="preserve">Tyrving performance slope (ages 13–16)</w:t>
            </w:r>
          </w:p>
        </w:tc>
        <w:tc>
          <w:tcPr/>
          <w:p>
            <w:pPr>
              <w:pStyle w:val="Compact"/>
            </w:pPr>
            <w:r>
              <w:t xml:space="preserve">0.075</w:t>
            </w:r>
          </w:p>
        </w:tc>
      </w:tr>
      <w:tr>
        <w:tc>
          <w:tcPr/>
          <w:p>
            <w:pPr>
              <w:pStyle w:val="Compact"/>
            </w:pPr>
            <w:r>
              <w:t xml:space="preserve">5</w:t>
            </w:r>
          </w:p>
        </w:tc>
        <w:tc>
          <w:tcPr/>
          <w:p>
            <w:pPr>
              <w:pStyle w:val="Compact"/>
            </w:pPr>
            <w:r>
              <w:t xml:space="preserve">Volume trend across milestone</w:t>
            </w:r>
          </w:p>
        </w:tc>
        <w:tc>
          <w:tcPr/>
          <w:p>
            <w:pPr>
              <w:pStyle w:val="Compact"/>
            </w:pPr>
            <w:r>
              <w:t xml:space="preserve">0.071</w:t>
            </w:r>
          </w:p>
        </w:tc>
      </w:tr>
      <w:tr>
        <w:tc>
          <w:tcPr/>
          <w:p>
            <w:pPr>
              <w:pStyle w:val="Compact"/>
            </w:pPr>
            <w:r>
              <w:t xml:space="preserve">6</w:t>
            </w:r>
          </w:p>
        </w:tc>
        <w:tc>
          <w:tcPr/>
          <w:p>
            <w:pPr>
              <w:pStyle w:val="Compact"/>
            </w:pPr>
            <w:r>
              <w:t xml:space="preserve">Peak Tyrving before age 15</w:t>
            </w:r>
          </w:p>
        </w:tc>
        <w:tc>
          <w:tcPr/>
          <w:p>
            <w:pPr>
              <w:pStyle w:val="Compact"/>
            </w:pPr>
            <w:r>
              <w:t xml:space="preserve">0.048</w:t>
            </w:r>
          </w:p>
        </w:tc>
      </w:tr>
      <w:tr>
        <w:tc>
          <w:tcPr/>
          <w:p>
            <w:pPr>
              <w:pStyle w:val="Compact"/>
            </w:pPr>
            <w:r>
              <w:t xml:space="preserve">7</w:t>
            </w:r>
          </w:p>
        </w:tc>
        <w:tc>
          <w:tcPr/>
          <w:p>
            <w:pPr>
              <w:pStyle w:val="Compact"/>
            </w:pPr>
            <w:r>
              <w:t xml:space="preserve">HHI change (age 13–14 to 15–16)</w:t>
            </w:r>
          </w:p>
        </w:tc>
        <w:tc>
          <w:tcPr/>
          <w:p>
            <w:pPr>
              <w:pStyle w:val="Compact"/>
            </w:pPr>
            <w:r>
              <w:t xml:space="preserve">0.044</w:t>
            </w:r>
          </w:p>
        </w:tc>
      </w:tr>
      <w:tr>
        <w:tc>
          <w:tcPr/>
          <w:p>
            <w:pPr>
              <w:pStyle w:val="Compact"/>
            </w:pPr>
            <w:r>
              <w:t xml:space="preserve">8</w:t>
            </w:r>
          </w:p>
        </w:tc>
        <w:tc>
          <w:tcPr/>
          <w:p>
            <w:pPr>
              <w:pStyle w:val="Compact"/>
            </w:pPr>
            <w:r>
              <w:t xml:space="preserve">Mean meets per year early career</w:t>
            </w:r>
          </w:p>
        </w:tc>
        <w:tc>
          <w:tcPr/>
          <w:p>
            <w:pPr>
              <w:pStyle w:val="Compact"/>
            </w:pPr>
            <w:r>
              <w:t xml:space="preserve">0.042</w:t>
            </w:r>
          </w:p>
        </w:tc>
      </w:tr>
      <w:tr>
        <w:tc>
          <w:tcPr/>
          <w:p>
            <w:pPr>
              <w:pStyle w:val="Compact"/>
            </w:pPr>
            <w:r>
              <w:t xml:space="preserve">9</w:t>
            </w:r>
          </w:p>
        </w:tc>
        <w:tc>
          <w:tcPr/>
          <w:p>
            <w:pPr>
              <w:pStyle w:val="Compact"/>
            </w:pPr>
            <w:r>
              <w:t xml:space="preserve">Tyrving best at baseline</w:t>
            </w:r>
          </w:p>
        </w:tc>
        <w:tc>
          <w:tcPr/>
          <w:p>
            <w:pPr>
              <w:pStyle w:val="Compact"/>
            </w:pPr>
            <w:r>
              <w:t xml:space="preserve">0.040</w:t>
            </w:r>
          </w:p>
        </w:tc>
      </w:tr>
      <w:tr>
        <w:tc>
          <w:tcPr/>
          <w:p>
            <w:pPr>
              <w:pStyle w:val="Compact"/>
            </w:pPr>
            <w:r>
              <w:t xml:space="preserve">10</w:t>
            </w:r>
          </w:p>
        </w:tc>
        <w:tc>
          <w:tcPr/>
          <w:p>
            <w:pPr>
              <w:pStyle w:val="Compact"/>
            </w:pPr>
            <w:r>
              <w:t xml:space="preserve">HHI early</w:t>
            </w:r>
          </w:p>
        </w:tc>
        <w:tc>
          <w:tcPr/>
          <w:p>
            <w:pPr>
              <w:pStyle w:val="Compact"/>
            </w:pPr>
            <w:r>
              <w:t xml:space="preserve">0.040</w:t>
            </w:r>
          </w:p>
        </w:tc>
      </w:tr>
      <w:tr>
        <w:tc>
          <w:tcPr/>
          <w:p>
            <w:pPr>
              <w:pStyle w:val="Compact"/>
            </w:pPr>
            <w:r>
              <w:t xml:space="preserve">11</w:t>
            </w:r>
          </w:p>
        </w:tc>
        <w:tc>
          <w:tcPr/>
          <w:p>
            <w:pPr>
              <w:pStyle w:val="Compact"/>
            </w:pPr>
            <w:r>
              <w:t xml:space="preserve">Volume pre-milestone (ages 13–14)</w:t>
            </w:r>
          </w:p>
        </w:tc>
        <w:tc>
          <w:tcPr/>
          <w:p>
            <w:pPr>
              <w:pStyle w:val="Compact"/>
            </w:pPr>
            <w:r>
              <w:t xml:space="preserve">0.039</w:t>
            </w:r>
          </w:p>
        </w:tc>
      </w:tr>
      <w:tr>
        <w:tc>
          <w:tcPr/>
          <w:p>
            <w:pPr>
              <w:pStyle w:val="Compact"/>
            </w:pPr>
            <w:r>
              <w:t xml:space="preserve">12</w:t>
            </w:r>
          </w:p>
        </w:tc>
        <w:tc>
          <w:tcPr/>
          <w:p>
            <w:pPr>
              <w:pStyle w:val="Compact"/>
            </w:pPr>
            <w:r>
              <w:t xml:space="preserve">Year-round participation sum (ages 13–16)</w:t>
            </w:r>
          </w:p>
        </w:tc>
        <w:tc>
          <w:tcPr/>
          <w:p>
            <w:pPr>
              <w:pStyle w:val="Compact"/>
            </w:pPr>
            <w:r>
              <w:t xml:space="preserve">0.039</w:t>
            </w:r>
          </w:p>
        </w:tc>
      </w:tr>
      <w:tr>
        <w:tc>
          <w:tcPr/>
          <w:p>
            <w:pPr>
              <w:pStyle w:val="Compact"/>
            </w:pPr>
            <w:r>
              <w:t xml:space="preserve">13</w:t>
            </w:r>
          </w:p>
        </w:tc>
        <w:tc>
          <w:tcPr/>
          <w:p>
            <w:pPr>
              <w:pStyle w:val="Compact"/>
            </w:pPr>
            <w:r>
              <w:t xml:space="preserve">Volume at age 14</w:t>
            </w:r>
          </w:p>
        </w:tc>
        <w:tc>
          <w:tcPr/>
          <w:p>
            <w:pPr>
              <w:pStyle w:val="Compact"/>
            </w:pPr>
            <w:r>
              <w:t xml:space="preserve">0.036</w:t>
            </w:r>
          </w:p>
        </w:tc>
      </w:tr>
      <w:tr>
        <w:tc>
          <w:tcPr/>
          <w:p>
            <w:pPr>
              <w:pStyle w:val="Compact"/>
            </w:pPr>
            <w:r>
              <w:t xml:space="preserve">14</w:t>
            </w:r>
          </w:p>
        </w:tc>
        <w:tc>
          <w:tcPr/>
          <w:p>
            <w:pPr>
              <w:pStyle w:val="Compact"/>
            </w:pPr>
            <w:r>
              <w:t xml:space="preserve">Number of championship types</w:t>
            </w:r>
          </w:p>
        </w:tc>
        <w:tc>
          <w:tcPr/>
          <w:p>
            <w:pPr>
              <w:pStyle w:val="Compact"/>
            </w:pPr>
            <w:r>
              <w:t xml:space="preserve">0.031</w:t>
            </w:r>
          </w:p>
        </w:tc>
      </w:tr>
      <w:tr>
        <w:tc>
          <w:tcPr/>
          <w:p>
            <w:pPr>
              <w:pStyle w:val="Compact"/>
            </w:pPr>
            <w:r>
              <w:t xml:space="preserve">15</w:t>
            </w:r>
          </w:p>
        </w:tc>
        <w:tc>
          <w:tcPr/>
          <w:p>
            <w:pPr>
              <w:pStyle w:val="Compact"/>
            </w:pPr>
            <w:r>
              <w:t xml:space="preserve">HHI at age 15</w:t>
            </w:r>
          </w:p>
        </w:tc>
        <w:tc>
          <w:tcPr/>
          <w:p>
            <w:pPr>
              <w:pStyle w:val="Compact"/>
            </w:pPr>
            <w:r>
              <w:t xml:space="preserve">0.030</w:t>
            </w:r>
          </w:p>
        </w:tc>
      </w:tr>
    </w:tbl>
    <w:p>
      <w:pPr>
        <w:pStyle w:val="BodyText"/>
      </w:pPr>
      <w:r>
        <w:rPr>
          <w:i/>
          <w:iCs/>
        </w:rPr>
        <w:t xml:space="preserve">Note.</w:t>
      </w:r>
      <w:r>
        <w:t xml:space="preserve"> </w:t>
      </w:r>
      <w:r>
        <w:t xml:space="preserve">Importances sum to 1.0 across all 22 features. Volume-based features dominate the top six positions.</w:t>
      </w:r>
    </w:p>
    <w:p>
      <w:r>
        <w:pict>
          <v:rect style="width:0;height:1.5pt" o:hralign="center" o:hrstd="t" o:hr="t"/>
        </w:pict>
      </w:r>
    </w:p>
    <w:bookmarkStart w:id="47" w:name="X585468e5085cedb5c477f60833a2e7d96093e7e"/>
    <w:p>
      <w:pPr>
        <w:pStyle w:val="Heading3"/>
      </w:pPr>
      <w:r>
        <w:t xml:space="preserve">3.6 How much of retention can pre-baseline information classify?</w:t>
      </w:r>
    </w:p>
    <w:p>
      <w:pPr>
        <w:pStyle w:val="FirstParagraph"/>
      </w:pPr>
      <w:r>
        <w:t xml:space="preserve">Table 5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bookmarkEnd w:id="47"/>
    <w:bookmarkEnd w:id="48"/>
    <w:bookmarkStart w:id="50" w:name="X35104862b3eb9af860ae8c086ddf0d06f951a25"/>
    <w:p>
      <w:pPr>
        <w:pStyle w:val="Heading2"/>
      </w:pPr>
      <w:r>
        <w:t xml:space="preserve">Table 5. Cross-validated AUC for nested predictor subsets predicting senior retention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c>
          <w:tcPr/>
          <w:p>
            <w:pPr>
              <w:pStyle w:val="Compact"/>
            </w:pPr>
            <w:r>
              <w:t xml:space="preserve">AUC (random forest)</w:t>
            </w:r>
          </w:p>
        </w:tc>
      </w:tr>
      <w:tr>
        <w:tc>
          <w:tcPr/>
          <w:p>
            <w:pPr>
              <w:pStyle w:val="Compact"/>
            </w:pPr>
            <w:r>
              <w:t xml:space="preserve">Baseline only (sex + Tyrving best)</w:t>
            </w:r>
          </w:p>
        </w:tc>
        <w:tc>
          <w:tcPr/>
          <w:p>
            <w:pPr>
              <w:pStyle w:val="Compact"/>
            </w:pPr>
            <w:r>
              <w:t xml:space="preserve">2</w:t>
            </w:r>
          </w:p>
        </w:tc>
        <w:tc>
          <w:tcPr/>
          <w:p>
            <w:pPr>
              <w:pStyle w:val="Compact"/>
            </w:pPr>
            <w:r>
              <w:t xml:space="preserve">1,217</w:t>
            </w:r>
          </w:p>
        </w:tc>
        <w:tc>
          <w:tcPr/>
          <w:p>
            <w:pPr>
              <w:pStyle w:val="Compact"/>
            </w:pPr>
            <w:r>
              <w:t xml:space="preserve">0.59 (±0.04)</w:t>
            </w:r>
          </w:p>
        </w:tc>
        <w:tc>
          <w:tcPr/>
          <w:p>
            <w:pPr>
              <w:pStyle w:val="Compact"/>
            </w:pPr>
            <w:r>
              <w:t xml:space="preserve">0.58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1,217</w:t>
            </w:r>
          </w:p>
        </w:tc>
        <w:tc>
          <w:tcPr/>
          <w:p>
            <w:pPr>
              <w:pStyle w:val="Compact"/>
            </w:pPr>
            <w:r>
              <w:t xml:space="preserve">0.60 (±0.06)</w:t>
            </w:r>
          </w:p>
        </w:tc>
        <w:tc>
          <w:tcPr/>
          <w:p>
            <w:pPr>
              <w:pStyle w:val="Compact"/>
            </w:pPr>
            <w:r>
              <w:t xml:space="preserve">0.57 (±0.05)</w:t>
            </w:r>
          </w:p>
        </w:tc>
      </w:tr>
      <w:tr>
        <w:tc>
          <w:tcPr/>
          <w:p>
            <w:pPr>
              <w:pStyle w:val="Compact"/>
            </w:pPr>
            <w:r>
              <w:t xml:space="preserve">Volume only (sex + meets ages 13–16)</w:t>
            </w:r>
          </w:p>
        </w:tc>
        <w:tc>
          <w:tcPr/>
          <w:p>
            <w:pPr>
              <w:pStyle w:val="Compact"/>
            </w:pPr>
            <w:r>
              <w:t xml:space="preserve">5</w:t>
            </w:r>
          </w:p>
        </w:tc>
        <w:tc>
          <w:tcPr/>
          <w:p>
            <w:pPr>
              <w:pStyle w:val="Compact"/>
            </w:pPr>
            <w:r>
              <w:t xml:space="preserve">1,217</w:t>
            </w:r>
          </w:p>
        </w:tc>
        <w:tc>
          <w:tcPr/>
          <w:p>
            <w:pPr>
              <w:pStyle w:val="Compact"/>
            </w:pPr>
            <w:r>
              <w:rPr>
                <w:b/>
                <w:bCs/>
              </w:rPr>
              <w:t xml:space="preserve">0.82</w:t>
            </w:r>
            <w:r>
              <w:t xml:space="preserve"> </w:t>
            </w:r>
            <w:r>
              <w:t xml:space="preserve">(±0.03)</w:t>
            </w:r>
          </w:p>
        </w:tc>
        <w:tc>
          <w:tcPr/>
          <w:p>
            <w:pPr>
              <w:pStyle w:val="Compact"/>
            </w:pPr>
            <w:r>
              <w:t xml:space="preserve">0.80 (±0.03)</w:t>
            </w:r>
          </w:p>
        </w:tc>
      </w:tr>
      <w:tr>
        <w:tc>
          <w:tcPr/>
          <w:p>
            <w:pPr>
              <w:pStyle w:val="Compact"/>
            </w:pPr>
            <w:r>
              <w:t xml:space="preserve">Volume + specialization (pre-baseline behavioral)</w:t>
            </w:r>
          </w:p>
        </w:tc>
        <w:tc>
          <w:tcPr/>
          <w:p>
            <w:pPr>
              <w:pStyle w:val="Compact"/>
            </w:pPr>
            <w:r>
              <w:t xml:space="preserve">8</w:t>
            </w:r>
          </w:p>
        </w:tc>
        <w:tc>
          <w:tcPr/>
          <w:p>
            <w:pPr>
              <w:pStyle w:val="Compact"/>
            </w:pPr>
            <w:r>
              <w:t xml:space="preserve">1,217</w:t>
            </w:r>
          </w:p>
        </w:tc>
        <w:tc>
          <w:tcPr/>
          <w:p>
            <w:pPr>
              <w:pStyle w:val="Compact"/>
            </w:pPr>
            <w:r>
              <w:t xml:space="preserve">0.82 (±0.03)</w:t>
            </w:r>
          </w:p>
        </w:tc>
        <w:tc>
          <w:tcPr/>
          <w:p>
            <w:pPr>
              <w:pStyle w:val="Compact"/>
            </w:pPr>
            <w:r>
              <w:t xml:space="preserve">0.80 (±0.03)</w:t>
            </w:r>
          </w:p>
        </w:tc>
      </w:tr>
      <w:tr>
        <w:tc>
          <w:tcPr/>
          <w:p>
            <w:pPr>
              <w:pStyle w:val="Compact"/>
            </w:pPr>
            <w:r>
              <w:t xml:space="preserve">Full model (all 22 predictors)</w:t>
            </w:r>
          </w:p>
        </w:tc>
        <w:tc>
          <w:tcPr/>
          <w:p>
            <w:pPr>
              <w:pStyle w:val="Compact"/>
            </w:pPr>
            <w:r>
              <w:t xml:space="preserve">22</w:t>
            </w:r>
          </w:p>
        </w:tc>
        <w:tc>
          <w:tcPr/>
          <w:p>
            <w:pPr>
              <w:pStyle w:val="Compact"/>
            </w:pPr>
            <w:r>
              <w:t xml:space="preserve">1,217</w:t>
            </w:r>
          </w:p>
        </w:tc>
        <w:tc>
          <w:tcPr/>
          <w:p>
            <w:pPr>
              <w:pStyle w:val="Compact"/>
            </w:pPr>
            <w:r>
              <w:t xml:space="preserve">0.81 (±0.03)</w:t>
            </w:r>
          </w:p>
        </w:tc>
        <w:tc>
          <w:tcPr/>
          <w:p>
            <w:pPr>
              <w:pStyle w:val="Compact"/>
            </w:pPr>
            <w:r>
              <w:t xml:space="preserve">0.82 (±0.03)</w:t>
            </w:r>
          </w:p>
        </w:tc>
      </w:tr>
    </w:tbl>
    <w:p>
      <w:pPr>
        <w:pStyle w:val="BodyText"/>
      </w:pPr>
      <w:r>
        <w:rPr>
          <w:i/>
          <w:iCs/>
        </w:rPr>
        <w:t xml:space="preserve">Note.</w:t>
      </w:r>
      <w:r>
        <w:t xml:space="preserve"> </w:t>
      </w:r>
      <w:r>
        <w:t xml:space="preserve">AUC is mean ± SD across 5-fold stratified cross-validation. Behavioral volume indicators (Volume-only) achieve performance close to the full predictor set.</w:t>
      </w:r>
    </w:p>
    <w:p>
      <w:r>
        <w:pict>
          <v:rect style="width:0;height:1.5pt" o:hralign="center" o:hrstd="t" o:hr="t"/>
        </w:pict>
      </w:r>
    </w:p>
    <w:bookmarkStart w:id="49" w:name="cross-cohort-replication"/>
    <w:p>
      <w:pPr>
        <w:pStyle w:val="Heading3"/>
      </w:pPr>
      <w:r>
        <w:t xml:space="preserve">3.7 Cross-cohort replication</w:t>
      </w:r>
    </w:p>
    <w:p>
      <w:pPr>
        <w:pStyle w:val="FirstParagraph"/>
      </w:pPr>
      <w:r>
        <w:t xml:space="preserve">Replication across the two birth-year cohorts is presented in Table 6.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bookmarkEnd w:id="49"/>
    <w:bookmarkEnd w:id="50"/>
    <w:bookmarkStart w:id="51" w:name="X3aebc5ff8155d5ab6eacc7300c12bff7cc0e059"/>
    <w:p>
      <w:pPr>
        <w:pStyle w:val="Heading2"/>
      </w:pPr>
      <w:r>
        <w:t xml:space="preserve">Table 6.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volume-at-milestone effect replicates in both cohorts at similar magnitude and direction; HHI early (specialization) is significant in Cohort B but not Cohort A; the sex effect is significant in Cohort A but not Cohort B.</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w:t>
      </w:r>
    </w:p>
    <w:p>
      <w:r>
        <w:pict>
          <v:rect style="width:0;height:1.5pt" o:hralign="center" o:hrstd="t" o:hr="t"/>
        </w:pict>
      </w:r>
    </w:p>
    <w:bookmarkEnd w:id="51"/>
    <w:bookmarkStart w:id="57"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Below we situate these findings against the qualitative literature that motivated the study, draw out their implications for retention practice, and acknowledge their limitations.</w:t>
      </w:r>
    </w:p>
    <w:bookmarkStart w:id="52" w:name="X13e06cfd09740eba2d2b2b80a6462475d5e6425"/>
    <w:p>
      <w:pPr>
        <w:pStyle w:val="Heading3"/>
      </w:pPr>
      <w:r>
        <w:t xml:space="preserve">4.1 Triangulating qualitative and quantitative accounts</w:t>
      </w:r>
    </w:p>
    <w:p>
      <w:pPr>
        <w:pStyle w:val="FirstParagraph"/>
      </w:pPr>
      <w:r>
        <w:t xml:space="preserve">Our quantitative pattern aligns remarkably closely with the qualitative dropout literature in three respects, and diverges from it in one.</w:t>
      </w:r>
    </w:p>
    <w:p>
      <w:pPr>
        <w:pStyle w:val="BodyText"/>
      </w:pPr>
      <w:r>
        <w:rPr>
          <w:b/>
          <w:bCs/>
        </w:rPr>
        <w:t xml:space="preserve">Behavioral two-groups.</w:t>
      </w:r>
      <w:r>
        <w:t xml:space="preserve"> </w:t>
      </w:r>
      <w:r>
        <w:t xml:space="preserve">Espedalen (2025) characterized organized youth sport as containing two distinct populations: a small, deeply committed minority who have integrated sport into their identities, and a larger casually-oriented majority who readily move between activities and withdraw when costs rise. In our data those groups are visibly detectable as behavioral trajectories. Future retainers and future dropouts begin at similar competition volumes (medians of 13 vs. 8 meets at age 13) but follow diverging paths through the milestone-year window. The phenomenon is not that retainers are</w:t>
      </w:r>
      <w:r>
        <w:t xml:space="preserve"> </w:t>
      </w:r>
      <w:r>
        <w:t xml:space="preserve">“more talented”</w:t>
      </w:r>
      <w:r>
        <w:t xml:space="preserve"> </w:t>
      </w:r>
      <w:r>
        <w:t xml:space="preserve">— performance was a comparatively weak predictor — but that they participate more, in more event categories, and across more types of competition.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Espedalen described, expressed in behavior rather than self-report.</w:t>
      </w:r>
    </w:p>
    <w:p>
      <w:pPr>
        <w:pStyle w:val="BodyText"/>
      </w:pPr>
      <w:r>
        <w:rPr>
          <w:b/>
          <w:bCs/>
        </w:rPr>
        <w:t xml:space="preserve">Process, not event.</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This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rPr>
          <w:b/>
          <w:bCs/>
        </w:rPr>
        <w:t xml:space="preserve">Milestone-driven withdrawal.</w:t>
      </w:r>
      <w:r>
        <w:t xml:space="preserve"> </w:t>
      </w:r>
      <w:r>
        <w:t xml:space="preserve">Both Espedalen’s account and Scanlan’s Sport Commitment Model (Scanlan et al., 1993, 2016) predict that withdrawal will be concentrated around moments when the formal demands of organized sport become explicit — qualification windows, selection events, federation championships. In Norwegian track and field, the first such milestone is the youth national championships (UM), open to athletes who have qualified by performance during their 15th and 16th year. The volume trajectory we observed bends sharply at exactly this age. The same milestone-window effect appears in the championship-type variable: athletes who entered all four levels of competitive championship before age 17 (regional, youth-national, junior-national, senior-national) retained 91% senior activity; athletes who entered none retained 5%. Championship participation is itself behavioral — a choice to enter — and so cannot be cleanly separated from the volume effect, but the gradient is striking either way.</w:t>
      </w:r>
    </w:p>
    <w:p>
      <w:pPr>
        <w:pStyle w:val="BodyText"/>
      </w:pPr>
      <w:r>
        <w:rPr>
          <w:b/>
          <w:bCs/>
        </w:rPr>
        <w:t xml:space="preserve">One point of divergence.</w:t>
      </w:r>
      <w:r>
        <w:t xml:space="preserve"> </w:t>
      </w: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 One possible reading is that prior reports of sex differences are confounded with sport-specific factors. Track and field, where event diversity is large and physical demands are sex-differentiated by event rather than across the sport as a whole, may not display the sex gradient seen in team sports. A second reading is that the differential we observed in Cohort A reflects an older cohort effect that is dissipating in subsequent cohorts as girls’ participation in elite-oriented endurance and field events has grown. We cannot adjudicate between these readings here; we note simply that the dropout pattern in our population is sex-symmetric across the entire population and across the bulk of follow-up.</w:t>
      </w:r>
    </w:p>
    <w:bookmarkEnd w:id="52"/>
    <w:bookmarkStart w:id="53" w:name="what-the-registry-contributes"/>
    <w:p>
      <w:pPr>
        <w:pStyle w:val="Heading3"/>
      </w:pPr>
      <w:r>
        <w:t xml:space="preserve">4.2 What the registry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the</w:t>
      </w:r>
      <w:r>
        <w:t xml:space="preserve"> </w:t>
      </w:r>
      <w:r>
        <w:rPr>
          <w:i/>
          <w:iCs/>
        </w:rPr>
        <w:t xml:space="preserve">committed-vs-casual</w:t>
      </w:r>
      <w:r>
        <w:t xml:space="preserve"> </w:t>
      </w:r>
      <w:r>
        <w:t xml:space="preserve">and</w:t>
      </w:r>
      <w:r>
        <w:t xml:space="preserve"> </w:t>
      </w:r>
      <w:r>
        <w:rPr>
          <w:i/>
          <w:iCs/>
        </w:rPr>
        <w:t xml:space="preserve">withdrawal-as-process</w:t>
      </w:r>
      <w:r>
        <w:t xml:space="preserve"> </w:t>
      </w:r>
      <w:r>
        <w:t xml:space="preserve">frameworks both pre-date this study — but a quantitative demonstration that those accounts predict an observable behavioral signal in objective register data, several years before the dropout itself. The signal is dominated by</w:t>
      </w:r>
      <w:r>
        <w:t xml:space="preserve"> </w:t>
      </w:r>
      <w:r>
        <w:rPr>
          <w:i/>
          <w:iCs/>
        </w:rPr>
        <w:t xml:space="preserve">behavior</w:t>
      </w:r>
      <w:r>
        <w:t xml:space="preserve"> </w:t>
      </w:r>
      <w:r>
        <w:t xml:space="preserve">(how much an athlete competes), not by</w:t>
      </w:r>
      <w:r>
        <w:t xml:space="preserve"> </w:t>
      </w:r>
      <w:r>
        <w:rPr>
          <w:i/>
          <w:iCs/>
        </w:rPr>
        <w:t xml:space="preserve">capability</w:t>
      </w:r>
      <w:r>
        <w:t xml:space="preserve"> </w:t>
      </w:r>
      <w:r>
        <w:t xml:space="preserve">(how well they perform). This has direct implications for retention practice.</w:t>
      </w:r>
    </w:p>
    <w:bookmarkEnd w:id="53"/>
    <w:bookmarkStart w:id="54" w:name="practical-implications"/>
    <w:p>
      <w:pPr>
        <w:pStyle w:val="Heading3"/>
      </w:pPr>
      <w:r>
        <w:t xml:space="preserve">4.3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bookmarkEnd w:id="54"/>
    <w:bookmarkStart w:id="55" w:name="limitations"/>
    <w:p>
      <w:pPr>
        <w:pStyle w:val="Heading3"/>
      </w:pPr>
      <w:r>
        <w:t xml:space="preserve">4.4 Limitations</w:t>
      </w:r>
    </w:p>
    <w:p>
      <w:pPr>
        <w:pStyle w:val="FirstParagraph"/>
      </w:pPr>
      <w:r>
        <w:t xml:space="preserve">Four limitations bear directly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who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55"/>
    <w:bookmarkStart w:id="56" w:name="conclusion"/>
    <w:p>
      <w:pPr>
        <w:pStyle w:val="Heading3"/>
      </w:pPr>
      <w:r>
        <w:t xml:space="preserve">4.5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qualitative accounts of dropout-as-process and of two-population stratification within organized youth sport.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56"/>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2026-05-17T20:08:09Z</dcterms:created>
  <dcterms:modified xsi:type="dcterms:W3CDTF">2026-05-17T20:08:09Z</dcterms:modified>
</cp:coreProperties>
</file>

<file path=docProps/custom.xml><?xml version="1.0" encoding="utf-8"?>
<Properties xmlns="http://schemas.openxmlformats.org/officeDocument/2006/custom-properties" xmlns:vt="http://schemas.openxmlformats.org/officeDocument/2006/docPropsVTypes"/>
</file>