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at the baseline meet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 among athletes still competing at 14, volume at 14 gave a similar estimate (OR = 2.05 per SD; Table 4, M1).</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model was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2.07, 2.04 [1.75, 2.39] and 2.03; Supplementary Table S22), and folds grouped by club gave the same cross-validated AUC (0.766; Supplementary Table S26): the association holds after accounting for club membership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both predict retention.</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both predicted retention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 Equivalently, volume at 14 added little once volume at 15 was known (OR = 0.98 per meet, 95% CI 0.95–1.00,</w:t>
      </w:r>
      <w:r>
        <w:t xml:space="preserve"> </w:t>
      </w:r>
      <w:r>
        <w:rPr>
          <w:i/>
          <w:iCs/>
        </w:rPr>
        <w:t xml:space="preserve">p</w:t>
      </w:r>
      <w:r>
        <w:t xml:space="preserve"> </w:t>
      </w:r>
      <w:r>
        <w:t xml:space="preserve">= .06; Table 4 note).</w:t>
      </w:r>
    </w:p>
    <w:p>
      <w:pPr>
        <w:pStyle w:val="BodyText"/>
      </w:pPr>
      <w:r>
        <w:t xml:space="preserve">Second, because a change score spanning the exit could conflate decline with the exit itself, we repeated the test among athletes still competing at age 16 (≥2 results; n = 1,088, of whom 269 had their final active season at 16),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baseline-window-behavior-vs.-performance"/>
    <w:p>
      <w:pPr>
        <w:pStyle w:val="Heading2"/>
      </w:pPr>
      <w:r>
        <w:t xml:space="preserve">3.6 Baseline-window behavior vs. performance</w:t>
      </w:r>
    </w:p>
    <w:p>
      <w:pPr>
        <w:pStyle w:val="FirstParagraph"/>
      </w:pPr>
      <w: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0.71 per SD, 95% CI [0.65, 0.77], C-index = 0.696; complete-case n = 1,147; Supplementary Table S8). 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the baseline-only Cox models, which include volume, agree: HR = 0.91 per SD, Supplementary Tables S10, S16), more clearly in Cohort B (1.32 [1.10, 1.60]) than in Cohort A (1.07 [0.90, 1.28]; cohort difference</w:t>
      </w:r>
      <w:r>
        <w:t xml:space="preserve"> </w:t>
      </w:r>
      <w:r>
        <w:rPr>
          <w:i/>
          <w:iCs/>
        </w:rPr>
        <w:t xml:space="preserve">p</w:t>
      </w:r>
      <w:r>
        <w:t xml:space="preserve"> </w:t>
      </w:r>
      <w:r>
        <w:t xml:space="preserve">= .11),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at the baseline meet, which nonetheless added complementary information. Second, the association was reproduced in both birth cohorts and withstood structural controls, club random effects, club-clustered and club-grouped validation, and multiple imputation. Third, the dropout signal had two components: early behavioral heterogeneity visible at 13–14, and a within-athlete decline in competition participation before exit. Dropouts’ participation typically declined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over two seasons while Tyrving is a scored maximum from a single meet, with norms that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early level and later change both predicted retention, also among athletes still active at 16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Kaplan–Meier curves of time to the last active season showed no clear sex difference (log-rank</w:t>
      </w:r>
      <w:r>
        <w:t xml:space="preserve"> </w:t>
      </w:r>
      <w:r>
        <w:rPr>
          <w:i/>
          <w:iCs/>
        </w:rPr>
        <w:t xml:space="preserve">p</w:t>
      </w:r>
      <w:r>
        <w:t xml:space="preserve"> </w:t>
      </w:r>
      <w:r>
        <w:t xml:space="preserve">= .42), but females retained senior status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volume association itself was similar across sexes (milestone-window volume HR = 0.48 for both males and females; Supplementary Table S7), so the residual sex difference lies in the level of retention, not in how volume relates to it.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has competed (cohort entry guarantees a baseline meet), though 29% had no result at 14,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t xml:space="preserve">A decline shows as lower later volume (Section 3.5): screen at the end of age 14 and again at the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262.8);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 (&lt; 10 meets at ages 13–14),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both carry information,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 level form, volume at 14 added little once volume at 15 was known (OR = 0.98 per meet [0.95, 1.00], p = .056): the information lies mainly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[0.12, 0.17]</w:t>
            </w:r>
          </w:p>
        </w:tc>
        <w:tc>
          <w:tcPr/>
          <w:p>
            <w:pPr>
              <w:pStyle w:val="Compact"/>
            </w:pPr>
            <w:r>
              <w:t xml:space="preserve">0.73 [0.65, 0.83]</w:t>
            </w:r>
          </w:p>
        </w:tc>
        <w:tc>
          <w:tcPr/>
          <w:p>
            <w:pPr>
              <w:pStyle w:val="Compact"/>
            </w:pPr>
            <w:r>
              <w:t xml:space="preserve">0.99 [0.82, 1.19]</w:t>
            </w:r>
          </w:p>
        </w:tc>
      </w:tr>
      <w:tr>
        <w:tc>
          <w:tcPr/>
          <w:p>
            <w:pPr>
              <w:pStyle w:val="Compact"/>
            </w:pPr>
            <w:r>
              <w:t xml:space="preserve">Championship types (count)</w:t>
            </w:r>
          </w:p>
        </w:tc>
        <w:tc>
          <w:tcPr/>
          <w:p>
            <w:pPr>
              <w:pStyle w:val="Compact"/>
            </w:pPr>
            <w:r>
              <w:t xml:space="preserve">0.77 [0.70, 0.84]</w:t>
            </w:r>
          </w:p>
        </w:tc>
        <w:tc>
          <w:tcPr/>
          <w:p>
            <w:pPr>
              <w:pStyle w:val="Compact"/>
            </w:pPr>
            <w:r>
              <w:t xml:space="preserve">0.86 [0.75, 0.98]</w:t>
            </w:r>
          </w:p>
        </w:tc>
        <w:tc>
          <w:tcPr/>
          <w:p>
            <w:pPr>
              <w:pStyle w:val="Compact"/>
            </w:pPr>
            <w:r>
              <w:t xml:space="preserve">0.70 [0.56, 0.88]</w:t>
            </w:r>
          </w:p>
        </w:tc>
      </w:tr>
      <w:tr>
        <w:tc>
          <w:tcPr/>
          <w:p>
            <w:pPr>
              <w:pStyle w:val="Compact"/>
            </w:pPr>
            <w:r>
              <w:t xml:space="preserve">Tyrving (z)</w:t>
            </w:r>
          </w:p>
        </w:tc>
        <w:tc>
          <w:tcPr/>
          <w:p>
            <w:pPr>
              <w:pStyle w:val="Compact"/>
            </w:pPr>
            <w:r>
              <w:t xml:space="preserve">0.93 [0.89, 0.98]</w:t>
            </w:r>
          </w:p>
        </w:tc>
        <w:tc>
          <w:tcPr/>
          <w:p>
            <w:pPr>
              <w:pStyle w:val="Compact"/>
            </w:pPr>
            <w:r>
              <w:t xml:space="preserve">0.86 [0.77, 0.96]</w:t>
            </w:r>
          </w:p>
        </w:tc>
        <w:tc>
          <w:tcPr/>
          <w:p>
            <w:pPr>
              <w:pStyle w:val="Compact"/>
            </w:pPr>
            <w:r>
              <w:t xml:space="preserve">1.08 [0.88, 1.32]</w:t>
            </w:r>
          </w:p>
        </w:tc>
      </w:tr>
      <w:tr>
        <w:tc>
          <w:tcPr/>
          <w:p>
            <w:pPr>
              <w:pStyle w:val="Compact"/>
            </w:pPr>
            <w:r>
              <w:t xml:space="preserve">HHI, ages 13–14 (z)</w:t>
            </w:r>
          </w:p>
        </w:tc>
        <w:tc>
          <w:tcPr/>
          <w:p>
            <w:pPr>
              <w:pStyle w:val="Compact"/>
            </w:pPr>
            <w:r>
              <w:t xml:space="preserve">1.02 [0.97, 1.08]</w:t>
            </w:r>
          </w:p>
        </w:tc>
        <w:tc>
          <w:tcPr/>
          <w:p>
            <w:pPr>
              <w:pStyle w:val="Compact"/>
            </w:pPr>
            <w:r>
              <w:t xml:space="preserve">0.90 [0.82, 0.99]</w:t>
            </w:r>
          </w:p>
        </w:tc>
        <w:tc>
          <w:tcPr/>
          <w:p>
            <w:pPr>
              <w:pStyle w:val="Compact"/>
            </w:pPr>
            <w:r>
              <w:t xml:space="preserve">0.98 [0.85, 1.14]</w:t>
            </w:r>
          </w:p>
        </w:tc>
      </w:tr>
      <w:tr>
        <w:tc>
          <w:tcPr/>
          <w:p>
            <w:pPr>
              <w:pStyle w:val="Compact"/>
            </w:pPr>
            <w:r>
              <w:t xml:space="preserve">Female</w:t>
            </w:r>
          </w:p>
        </w:tc>
        <w:tc>
          <w:tcPr/>
          <w:p>
            <w:pPr>
              <w:pStyle w:val="Compact"/>
            </w:pPr>
            <w:r>
              <w:t xml:space="preserve">1.07 [0.96, 1.19]</w:t>
            </w:r>
          </w:p>
        </w:tc>
        <w:tc>
          <w:tcPr/>
          <w:p>
            <w:pPr>
              <w:pStyle w:val="Compact"/>
            </w:pPr>
            <w:r>
              <w:t xml:space="preserve">1.49 [1.24, 1.79]</w:t>
            </w:r>
          </w:p>
        </w:tc>
        <w:tc>
          <w:tcPr/>
          <w:p>
            <w:pPr>
              <w:pStyle w:val="Compact"/>
            </w:pPr>
            <w:r>
              <w:t xml:space="preserve">1.04 [0.77, 1.42]</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0.663</w:t>
            </w:r>
          </w:p>
        </w:tc>
        <w:tc>
          <w:tcPr/>
          <w:p>
            <w:pPr>
              <w:pStyle w:val="Compact"/>
            </w:pPr>
            <w:r>
              <w:t xml:space="preserve">0.592</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were still active at the end of its curve (11 years) and 0.8% reached active senior status.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2026-10-03T14:13:10Z</dcterms:created>
  <dcterms:modified xsi:type="dcterms:W3CDTF">2026-10-03T14:13:10Z</dcterms:modified>
</cp:coreProperties>
</file>

<file path=docProps/custom.xml><?xml version="1.0" encoding="utf-8"?>
<Properties xmlns="http://schemas.openxmlformats.org/officeDocument/2006/custom-properties" xmlns:vt="http://schemas.openxmlformats.org/officeDocument/2006/docPropsVTypes"/>
</file>