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version of the same question without this overlap is therefore the logistic change model of main-text Section 3.5 (level at 15 + change 15→16 among athletes active at 16, outcome at 20+), although 16 was the final active season for a quarter of these athletes.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1,747 events in the baseline-only Cox model (clock from the end of the age-14 season) at α = .05 and 80% power yield HR_min ≈ 1.07 per SD (≈ 1.14 for a balanced binary covariate); the omitted variance-inflation factor for covariate correlation would move this only trivially (to ≈ 1.07–1.08 at ρ ≈ .3–.45). For the primary logistic analysis (n = 2,136, 347 retainers), the normal-covariate approximation gives a minimum detectable odds ratio of ≈ 1.18 per SD at 80% power (a simulation with 300 replicates per grid point places it between 1.15 and 1.20; Supplementary Table S4).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models that adjust for sex (except the mean-imputation check of the post-baseline Cox model in Supplementary Table S5, which keeps every athlete and, as in the submission, codes them as male) and from Tyrving scoring, but included in cohort totals, the fixed-effects model (which has no sex term) and the full-cohort descriptive analyses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change model among athletes still active at 16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although for 269 of them 16 was the final active season;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now by maximum likelihood with the club intercepts integrated out by Gauss–Hermite quadrature (40 nodes; the submission used a variational Bayes approximation, which understates uncertainty), with a likelihood-ratio test of no club variation (p-value halved for the boundary), Supplementary Table S22. The model was also estimated with club-clustered (sandwich) standard errors and as a population-averaged model (generalized estimating equations with an exchangeable correlation within baseline clubs).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t xml:space="preserve">S-M12. Data preparation and corrections made during the revision</w:t>
      </w:r>
    </w:p>
    <w:p>
      <w:pPr>
        <w:pStyle w:val="FirstParagraph"/>
      </w:pPr>
      <w: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t xml:space="preserve">Extraction: a deterministic re-extraction added 334 results missed by the original pagination and removed 332 duplicates.</w:t>
      </w:r>
    </w:p>
    <w:p>
      <w:pPr>
        <w:pStyle w:val="Compact"/>
        <w:numPr>
          <w:ilvl w:val="0"/>
          <w:numId w:val="1001"/>
        </w:numPr>
      </w:pPr>
      <w: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t xml:space="preserve">Follow-up: results from the partial 2026 season were removed.</w:t>
      </w:r>
    </w:p>
    <w:p>
      <w:pPr>
        <w:pStyle w:val="Compact"/>
        <w:numPr>
          <w:ilvl w:val="0"/>
          <w:numId w:val="1001"/>
        </w:numPr>
      </w:pPr>
      <w:r>
        <w:t xml:space="preserve">Sex: register values after its July 2026 correction (S-M3).</w:t>
      </w:r>
    </w:p>
    <w:p>
      <w:pPr>
        <w:pStyle w:val="Compact"/>
        <w:numPr>
          <w:ilvl w:val="0"/>
          <w:numId w:val="1001"/>
        </w:numPr>
      </w:pPr>
      <w: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t xml:space="preserve">Volume: counted as competition days, so that one day’s results filed under two meet records count once.</w:t>
      </w:r>
    </w:p>
    <w:p>
      <w:pPr>
        <w:pStyle w:val="Compact"/>
        <w:numPr>
          <w:ilvl w:val="0"/>
          <w:numId w:val="1001"/>
        </w:numPr>
      </w:pPr>
      <w: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t xml:space="preserve">Championship types (post-baseline models only): a type is counted when the athlete has a result before age 17 at a meet whose name identifies it as a district (KM, DM, FM), youth-national (UM), junior-national or senior-national championship, in an age class open to the athlete. National championships are open from age 15; at national combined-events championships athletes under 17 compete in youth classes (counted as youth-national); a district championship named for some age classes (e.g. </w:t>
      </w:r>
      <w:r>
        <w:t xml:space="preserve">“11–14 år”</w:t>
      </w:r>
      <w:r>
        <w:t xml:space="preserve">, senior) counts only for those ages. Not counted: relay championships (individual results there are side events), qualification, preparation, unofficial and test meets, veterans’ and school championships, meets abroad, and multi-district regional championships (e.g. North Norwegian). The submitted coding matched</w:t>
      </w:r>
      <w:r>
        <w:t xml:space="preserve"> </w:t>
      </w:r>
      <w:r>
        <w:t xml:space="preserve">“UM”</w:t>
      </w:r>
      <w:r>
        <w:t xml:space="preserve"> </w:t>
      </w:r>
      <w:r>
        <w:t xml:space="preserve">as letters anywhere in a meet name (e.g. Bærum, Jubileumsstevne), counted</w:t>
      </w:r>
      <w:r>
        <w:t xml:space="preserve"> </w:t>
      </w:r>
      <w:r>
        <w:t xml:space="preserve">“Junior-NM”</w:t>
      </w:r>
      <w:r>
        <w:t xml:space="preserve"> </w:t>
      </w:r>
      <w:r>
        <w:t xml:space="preserve">as a senior championship, and counted the excluded meets. Every matched meet name was read; corrected, the count changed for 361 athletes. For 10 athletes the district type rests only on meets with embedded district-championship events (</w:t>
      </w:r>
      <w:r>
        <w:t xml:space="preserve">“innlagt KM”</w:t>
      </w:r>
      <w:r>
        <w:t xml:space="preserve">), at which they may have entered other events.</w:t>
      </w:r>
    </w:p>
    <w:p>
      <w:pPr>
        <w:pStyle w:val="Compact"/>
        <w:numPr>
          <w:ilvl w:val="0"/>
          <w:numId w:val="1001"/>
        </w:numPr>
      </w:pPr>
      <w: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2.58</w:t>
            </w:r>
          </w:p>
        </w:tc>
        <w:tc>
          <w:tcPr/>
          <w:p>
            <w:pPr>
              <w:pStyle w:val="Compact"/>
            </w:pPr>
            <w:r>
              <w:t xml:space="preserve">.108</w:t>
            </w:r>
          </w:p>
        </w:tc>
      </w:tr>
      <w:tr>
        <w:tc>
          <w:tcPr/>
          <w:p>
            <w:pPr>
              <w:pStyle w:val="Compact"/>
            </w:pPr>
            <w:r>
              <w:t xml:space="preserve">Tyrving (z)</w:t>
            </w:r>
          </w:p>
        </w:tc>
        <w:tc>
          <w:tcPr/>
          <w:p>
            <w:pPr>
              <w:pStyle w:val="Compact"/>
            </w:pPr>
            <w:r>
              <w:t xml:space="preserve">0.00</w:t>
            </w:r>
          </w:p>
        </w:tc>
        <w:tc>
          <w:tcPr/>
          <w:p>
            <w:pPr>
              <w:pStyle w:val="Compact"/>
            </w:pPr>
            <w:r>
              <w:t xml:space="preserve">.954</w:t>
            </w:r>
          </w:p>
        </w:tc>
      </w:tr>
      <w:tr>
        <w:tc>
          <w:tcPr/>
          <w:p>
            <w:pPr>
              <w:pStyle w:val="Compact"/>
            </w:pPr>
            <w:r>
              <w:t xml:space="preserve">HHI, ages 13–14 (z)</w:t>
            </w:r>
          </w:p>
        </w:tc>
        <w:tc>
          <w:tcPr/>
          <w:p>
            <w:pPr>
              <w:pStyle w:val="Compact"/>
            </w:pPr>
            <w:r>
              <w:t xml:space="preserve">12.86</w:t>
            </w:r>
          </w:p>
        </w:tc>
        <w:tc>
          <w:tcPr/>
          <w:p>
            <w:pPr>
              <w:pStyle w:val="Compact"/>
            </w:pPr>
            <w:r>
              <w:t xml:space="preserve">&lt; .001</w:t>
            </w:r>
          </w:p>
        </w:tc>
      </w:tr>
      <w:tr>
        <w:tc>
          <w:tcPr/>
          <w:p>
            <w:pPr>
              <w:pStyle w:val="Compact"/>
            </w:pPr>
            <w:r>
              <w:t xml:space="preserve">Volume at age 15–16 (z)</w:t>
            </w:r>
          </w:p>
        </w:tc>
        <w:tc>
          <w:tcPr/>
          <w:p>
            <w:pPr>
              <w:pStyle w:val="Compact"/>
            </w:pPr>
            <w:r>
              <w:t xml:space="preserve">262.84</w:t>
            </w:r>
          </w:p>
        </w:tc>
        <w:tc>
          <w:tcPr/>
          <w:p>
            <w:pPr>
              <w:pStyle w:val="Compact"/>
            </w:pPr>
            <w:r>
              <w:t xml:space="preserve">&lt; .001</w:t>
            </w:r>
          </w:p>
        </w:tc>
      </w:tr>
      <w:tr>
        <w:tc>
          <w:tcPr/>
          <w:p>
            <w:pPr>
              <w:pStyle w:val="Compact"/>
            </w:pPr>
            <w:r>
              <w:t xml:space="preserve">Championship types</w:t>
            </w:r>
          </w:p>
        </w:tc>
        <w:tc>
          <w:tcPr/>
          <w:p>
            <w:pPr>
              <w:pStyle w:val="Compact"/>
            </w:pPr>
            <w:r>
              <w:t xml:space="preserve">8.71</w:t>
            </w:r>
          </w:p>
        </w:tc>
        <w:tc>
          <w:tcPr/>
          <w:p>
            <w:pPr>
              <w:pStyle w:val="Compact"/>
            </w:pPr>
            <w:r>
              <w:t xml:space="preserve">.003</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1.16</w:t>
            </w:r>
          </w:p>
        </w:tc>
        <w:tc>
          <w:tcPr/>
          <w:p>
            <w:pPr>
              <w:pStyle w:val="Compact"/>
            </w:pPr>
            <w:r>
              <w:t xml:space="preserve">[1.03, 1.30]</w:t>
            </w:r>
          </w:p>
        </w:tc>
        <w:tc>
          <w:tcPr/>
          <w:p>
            <w:pPr>
              <w:pStyle w:val="Compact"/>
            </w:pPr>
            <w:r>
              <w:t xml:space="preserve">.017</w:t>
            </w:r>
          </w:p>
        </w:tc>
      </w:tr>
      <w:tr>
        <w:tc>
          <w:tcPr/>
          <w:p>
            <w:pPr>
              <w:pStyle w:val="Compact"/>
            </w:pPr>
            <w:r>
              <w:t xml:space="preserve">Tyrving (z)</w:t>
            </w:r>
          </w:p>
        </w:tc>
        <w:tc>
          <w:tcPr/>
          <w:p>
            <w:pPr>
              <w:pStyle w:val="Compact"/>
            </w:pPr>
            <w:r>
              <w:t xml:space="preserve">0.92</w:t>
            </w:r>
          </w:p>
        </w:tc>
        <w:tc>
          <w:tcPr/>
          <w:p>
            <w:pPr>
              <w:pStyle w:val="Compact"/>
            </w:pPr>
            <w:r>
              <w:t xml:space="preserve">[0.86, 0.98]</w:t>
            </w:r>
          </w:p>
        </w:tc>
        <w:tc>
          <w:tcPr/>
          <w:p>
            <w:pPr>
              <w:pStyle w:val="Compact"/>
            </w:pPr>
            <w:r>
              <w:t xml:space="preserve">.009</w:t>
            </w:r>
          </w:p>
        </w:tc>
      </w:tr>
      <w:tr>
        <w:tc>
          <w:tcPr/>
          <w:p>
            <w:pPr>
              <w:pStyle w:val="Compact"/>
            </w:pPr>
            <w:r>
              <w:t xml:space="preserve">HHI, ages 13–14 (z)</w:t>
            </w:r>
          </w:p>
        </w:tc>
        <w:tc>
          <w:tcPr/>
          <w:p>
            <w:pPr>
              <w:pStyle w:val="Compact"/>
            </w:pPr>
            <w:r>
              <w:t xml:space="preserve">0.97</w:t>
            </w:r>
          </w:p>
        </w:tc>
        <w:tc>
          <w:tcPr/>
          <w:p>
            <w:pPr>
              <w:pStyle w:val="Compact"/>
            </w:pPr>
            <w:r>
              <w:t xml:space="preserve">[0.91, 1.03]</w:t>
            </w:r>
          </w:p>
        </w:tc>
        <w:tc>
          <w:tcPr/>
          <w:p>
            <w:pPr>
              <w:pStyle w:val="Compact"/>
            </w:pPr>
            <w:r>
              <w:t xml:space="preserve">.374</w:t>
            </w:r>
          </w:p>
        </w:tc>
      </w:tr>
      <w:tr>
        <w:tc>
          <w:tcPr/>
          <w:p>
            <w:pPr>
              <w:pStyle w:val="Compact"/>
            </w:pPr>
            <w:r>
              <w:t xml:space="preserve">Volume at age 15–16 (z)</w:t>
            </w:r>
          </w:p>
        </w:tc>
        <w:tc>
          <w:tcPr/>
          <w:p>
            <w:pPr>
              <w:pStyle w:val="Compact"/>
            </w:pPr>
            <w:r>
              <w:t xml:space="preserve">0.48</w:t>
            </w:r>
          </w:p>
        </w:tc>
        <w:tc>
          <w:tcPr/>
          <w:p>
            <w:pPr>
              <w:pStyle w:val="Compact"/>
            </w:pPr>
            <w:r>
              <w:t xml:space="preserve">[0.43, 0.54]</w:t>
            </w:r>
          </w:p>
        </w:tc>
        <w:tc>
          <w:tcPr/>
          <w:p>
            <w:pPr>
              <w:pStyle w:val="Compact"/>
            </w:pPr>
            <w:r>
              <w:t xml:space="preserve">&lt; .001</w:t>
            </w:r>
          </w:p>
        </w:tc>
      </w:tr>
      <w:tr>
        <w:tc>
          <w:tcPr/>
          <w:p>
            <w:pPr>
              <w:pStyle w:val="Compact"/>
            </w:pPr>
            <w:r>
              <w:t xml:space="preserve">Championship types</w:t>
            </w:r>
          </w:p>
        </w:tc>
        <w:tc>
          <w:tcPr/>
          <w:p>
            <w:pPr>
              <w:pStyle w:val="Compact"/>
            </w:pPr>
            <w:r>
              <w:t xml:space="preserve">0.70</w:t>
            </w:r>
          </w:p>
        </w:tc>
        <w:tc>
          <w:tcPr/>
          <w:p>
            <w:pPr>
              <w:pStyle w:val="Compact"/>
            </w:pPr>
            <w:r>
              <w:t xml:space="preserve">[0.64, 0.76]</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 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t xml:space="preserve">n (logistic)</w:t>
            </w:r>
          </w:p>
        </w:tc>
        <w:tc>
          <w:tcPr/>
          <w:p>
            <w:pPr>
              <w:pStyle w:val="Compact"/>
            </w:pPr>
            <w:r>
              <w:t xml:space="preserve">Retainers</w:t>
            </w:r>
          </w:p>
        </w:tc>
        <w:tc>
          <w:tcPr/>
          <w:p>
            <w:pPr>
              <w:pStyle w:val="Compact"/>
            </w:pPr>
            <w:r>
              <w:t xml:space="preserve">Min. detectable OR</w:t>
            </w:r>
          </w:p>
        </w:tc>
      </w:tr>
      <w:tr>
        <w:tc>
          <w:tcPr/>
          <w:p>
            <w:pPr>
              <w:pStyle w:val="Compact"/>
            </w:pPr>
            <w:r>
              <w:t xml:space="preserve">Combined</w:t>
            </w:r>
          </w:p>
        </w:tc>
        <w:tc>
          <w:tcPr/>
          <w:p>
            <w:pPr>
              <w:pStyle w:val="Compact"/>
            </w:pPr>
            <w:r>
              <w:t xml:space="preserve">1,908</w:t>
            </w:r>
          </w:p>
        </w:tc>
        <w:tc>
          <w:tcPr/>
          <w:p>
            <w:pPr>
              <w:pStyle w:val="Compact"/>
            </w:pPr>
            <w:r>
              <w:t xml:space="preserve">1,747</w:t>
            </w:r>
          </w:p>
        </w:tc>
        <w:tc>
          <w:tcPr/>
          <w:p>
            <w:pPr>
              <w:pStyle w:val="Compact"/>
            </w:pPr>
            <w:r>
              <w:t xml:space="preserve">1.069</w:t>
            </w:r>
          </w:p>
        </w:tc>
        <w:tc>
          <w:tcPr/>
          <w:p>
            <w:pPr>
              <w:pStyle w:val="Compact"/>
            </w:pPr>
            <w:r>
              <w:t xml:space="preserve">2,136</w:t>
            </w:r>
          </w:p>
        </w:tc>
        <w:tc>
          <w:tcPr/>
          <w:p>
            <w:pPr>
              <w:pStyle w:val="Compact"/>
            </w:pPr>
            <w:r>
              <w:t xml:space="preserve">347</w:t>
            </w:r>
          </w:p>
        </w:tc>
        <w:tc>
          <w:tcPr/>
          <w:p>
            <w:pPr>
              <w:pStyle w:val="Compact"/>
            </w:pPr>
            <w:r>
              <w:t xml:space="preserve">1.179</w:t>
            </w:r>
          </w:p>
        </w:tc>
      </w:tr>
      <w:tr>
        <w:tc>
          <w:tcPr/>
          <w:p>
            <w:pPr>
              <w:pStyle w:val="Compact"/>
            </w:pPr>
            <w:r>
              <w:t xml:space="preserve">1998–2000</w:t>
            </w:r>
          </w:p>
        </w:tc>
        <w:tc>
          <w:tcPr/>
          <w:p>
            <w:pPr>
              <w:pStyle w:val="Compact"/>
            </w:pPr>
            <w:r>
              <w:t xml:space="preserve">1,169</w:t>
            </w:r>
          </w:p>
        </w:tc>
        <w:tc>
          <w:tcPr/>
          <w:p>
            <w:pPr>
              <w:pStyle w:val="Compact"/>
            </w:pPr>
            <w:r>
              <w:t xml:space="preserve">1,094</w:t>
            </w:r>
          </w:p>
        </w:tc>
        <w:tc>
          <w:tcPr/>
          <w:p>
            <w:pPr>
              <w:pStyle w:val="Compact"/>
            </w:pPr>
            <w:r>
              <w:t xml:space="preserve">1.088</w:t>
            </w:r>
          </w:p>
        </w:tc>
        <w:tc>
          <w:tcPr/>
          <w:p>
            <w:pPr>
              <w:pStyle w:val="Compact"/>
            </w:pPr>
            <w:r>
              <w:t xml:space="preserve">1,308</w:t>
            </w:r>
          </w:p>
        </w:tc>
        <w:tc>
          <w:tcPr/>
          <w:p>
            <w:pPr>
              <w:pStyle w:val="Compact"/>
            </w:pPr>
            <w:r>
              <w:t xml:space="preserve">207</w:t>
            </w:r>
          </w:p>
        </w:tc>
        <w:tc>
          <w:tcPr/>
          <w:p>
            <w:pPr>
              <w:pStyle w:val="Compact"/>
            </w:pPr>
            <w:r>
              <w:t xml:space="preserve">1.236</w:t>
            </w:r>
          </w:p>
        </w:tc>
      </w:tr>
      <w:tr>
        <w:tc>
          <w:tcPr/>
          <w:p>
            <w:pPr>
              <w:pStyle w:val="Compact"/>
            </w:pPr>
            <w:r>
              <w:t xml:space="preserve">2001–2002</w:t>
            </w:r>
          </w:p>
        </w:tc>
        <w:tc>
          <w:tcPr/>
          <w:p>
            <w:pPr>
              <w:pStyle w:val="Compact"/>
            </w:pPr>
            <w:r>
              <w:t xml:space="preserve">739</w:t>
            </w:r>
          </w:p>
        </w:tc>
        <w:tc>
          <w:tcPr/>
          <w:p>
            <w:pPr>
              <w:pStyle w:val="Compact"/>
            </w:pPr>
            <w:r>
              <w:t xml:space="preserve">653</w:t>
            </w:r>
          </w:p>
        </w:tc>
        <w:tc>
          <w:tcPr/>
          <w:p>
            <w:pPr>
              <w:pStyle w:val="Compact"/>
            </w:pPr>
            <w:r>
              <w:t xml:space="preserve">1.116</w:t>
            </w:r>
          </w:p>
        </w:tc>
        <w:tc>
          <w:tcPr/>
          <w:p>
            <w:pPr>
              <w:pStyle w:val="Compact"/>
            </w:pPr>
            <w:r>
              <w:t xml:space="preserve">828</w:t>
            </w:r>
          </w:p>
        </w:tc>
        <w:tc>
          <w:tcPr/>
          <w:p>
            <w:pPr>
              <w:pStyle w:val="Compact"/>
            </w:pPr>
            <w:r>
              <w:t xml:space="preserve">140</w:t>
            </w:r>
          </w:p>
        </w:tc>
        <w:tc>
          <w:tcPr/>
          <w:p>
            <w:pPr>
              <w:pStyle w:val="Compact"/>
            </w:pPr>
            <w:r>
              <w:t xml:space="preserve">1.297</w:t>
            </w:r>
          </w:p>
        </w:tc>
      </w:tr>
    </w:tbl>
    <w:p>
      <w:pPr>
        <w:pStyle w:val="BodyText"/>
      </w:pPr>
      <w:r>
        <w:rPr>
          <w:i/>
          <w:iCs/>
        </w:rPr>
        <w:t xml:space="preserve">Note.</w:t>
      </w:r>
      <w:r>
        <w:t xml:space="preserve"> </w:t>
      </w:r>
      <w: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1.16</w:t>
            </w:r>
          </w:p>
        </w:tc>
        <w:tc>
          <w:tcPr/>
          <w:p>
            <w:pPr>
              <w:pStyle w:val="Compact"/>
            </w:pPr>
            <w:r>
              <w:t xml:space="preserve">1.16</w:t>
            </w:r>
          </w:p>
        </w:tc>
      </w:tr>
      <w:tr>
        <w:tc>
          <w:tcPr/>
          <w:p>
            <w:pPr>
              <w:pStyle w:val="Compact"/>
            </w:pPr>
            <w:r>
              <w:t xml:space="preserve">Tyrving (z)</w:t>
            </w:r>
          </w:p>
        </w:tc>
        <w:tc>
          <w:tcPr/>
          <w:p>
            <w:pPr>
              <w:pStyle w:val="Compact"/>
            </w:pPr>
            <w:r>
              <w:t xml:space="preserve">0.92</w:t>
            </w:r>
          </w:p>
        </w:tc>
        <w:tc>
          <w:tcPr/>
          <w:p>
            <w:pPr>
              <w:pStyle w:val="Compact"/>
            </w:pPr>
            <w:r>
              <w:t xml:space="preserve">0.92</w:t>
            </w:r>
          </w:p>
        </w:tc>
      </w:tr>
      <w:tr>
        <w:tc>
          <w:tcPr/>
          <w:p>
            <w:pPr>
              <w:pStyle w:val="Compact"/>
            </w:pPr>
            <w:r>
              <w:t xml:space="preserve">HHI, ages 13–14 (z)</w:t>
            </w:r>
          </w:p>
        </w:tc>
        <w:tc>
          <w:tcPr/>
          <w:p>
            <w:pPr>
              <w:pStyle w:val="Compact"/>
            </w:pPr>
            <w:r>
              <w:t xml:space="preserve">0.97</w:t>
            </w:r>
          </w:p>
        </w:tc>
        <w:tc>
          <w:tcPr/>
          <w:p>
            <w:pPr>
              <w:pStyle w:val="Compact"/>
            </w:pPr>
            <w:r>
              <w:t xml:space="preserve">0.97</w:t>
            </w:r>
          </w:p>
        </w:tc>
      </w:tr>
      <w:tr>
        <w:tc>
          <w:tcPr/>
          <w:p>
            <w:pPr>
              <w:pStyle w:val="Compact"/>
            </w:pPr>
            <w:r>
              <w:t xml:space="preserve">Volume at age 15–16 (z)</w:t>
            </w:r>
          </w:p>
        </w:tc>
        <w:tc>
          <w:tcPr/>
          <w:p>
            <w:pPr>
              <w:pStyle w:val="Compact"/>
            </w:pPr>
            <w:r>
              <w:t xml:space="preserve">0.48</w:t>
            </w:r>
          </w:p>
        </w:tc>
        <w:tc>
          <w:tcPr/>
          <w:p>
            <w:pPr>
              <w:pStyle w:val="Compact"/>
            </w:pPr>
            <w:r>
              <w:t xml:space="preserve">0.48</w:t>
            </w:r>
          </w:p>
        </w:tc>
      </w:tr>
      <w:tr>
        <w:tc>
          <w:tcPr/>
          <w:p>
            <w:pPr>
              <w:pStyle w:val="Compact"/>
            </w:pPr>
            <w:r>
              <w:t xml:space="preserve">Championship types</w:t>
            </w:r>
          </w:p>
        </w:tc>
        <w:tc>
          <w:tcPr/>
          <w:p>
            <w:pPr>
              <w:pStyle w:val="Compact"/>
            </w:pPr>
            <w:r>
              <w:t xml:space="preserve">0.70</w:t>
            </w:r>
          </w:p>
        </w:tc>
        <w:tc>
          <w:tcPr/>
          <w:p>
            <w:pPr>
              <w:pStyle w:val="Compact"/>
            </w:pPr>
            <w:r>
              <w:t xml:space="preserve">0.70</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.002</w:t>
            </w:r>
          </w:p>
        </w:tc>
      </w:tr>
      <w:tr>
        <w:tc>
          <w:tcPr/>
          <w:p>
            <w:pPr>
              <w:pStyle w:val="Compact"/>
            </w:pPr>
            <w:r>
              <w:t xml:space="preserve">Tyrving (z)</w:t>
            </w:r>
          </w:p>
        </w:tc>
        <w:tc>
          <w:tcPr/>
          <w:p>
            <w:pPr>
              <w:pStyle w:val="Compact"/>
            </w:pPr>
            <w:r>
              <w:t xml:space="preserve">0.92</w:t>
            </w:r>
          </w:p>
        </w:tc>
        <w:tc>
          <w:tcPr/>
          <w:p>
            <w:pPr>
              <w:pStyle w:val="Compact"/>
            </w:pPr>
            <w:r>
              <w:t xml:space="preserve">&lt; .001</w:t>
            </w:r>
          </w:p>
        </w:tc>
      </w:tr>
      <w:tr>
        <w:tc>
          <w:tcPr/>
          <w:p>
            <w:pPr>
              <w:pStyle w:val="Compact"/>
            </w:pPr>
            <w:r>
              <w:t xml:space="preserve">Volume at age 15–16 (z)</w:t>
            </w:r>
          </w:p>
        </w:tc>
        <w:tc>
          <w:tcPr/>
          <w:p>
            <w:pPr>
              <w:pStyle w:val="Compact"/>
            </w:pPr>
            <w:r>
              <w:t xml:space="preserve">0.47</w:t>
            </w:r>
          </w:p>
        </w:tc>
        <w:tc>
          <w:tcPr/>
          <w:p>
            <w:pPr>
              <w:pStyle w:val="Compact"/>
            </w:pPr>
            <w:r>
              <w:t xml:space="preserve">&lt; .001</w:t>
            </w:r>
          </w:p>
        </w:tc>
      </w:tr>
      <w:tr>
        <w:tc>
          <w:tcPr/>
          <w:p>
            <w:pPr>
              <w:pStyle w:val="Compact"/>
            </w:pPr>
            <w:r>
              <w:t xml:space="preserve">Championship types</w:t>
            </w:r>
          </w:p>
        </w:tc>
        <w:tc>
          <w:tcPr/>
          <w:p>
            <w:pPr>
              <w:pStyle w:val="Compact"/>
            </w:pPr>
            <w:r>
              <w:t xml:space="preserve">0.71</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essentially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0.99</w:t>
            </w:r>
          </w:p>
        </w:tc>
        <w:tc>
          <w:tcPr/>
          <w:p>
            <w:pPr>
              <w:pStyle w:val="Compact"/>
            </w:pPr>
            <w:r>
              <w:t xml:space="preserve">[0.93, 1.05]</w:t>
            </w:r>
          </w:p>
        </w:tc>
        <w:tc>
          <w:tcPr/>
          <w:p>
            <w:pPr>
              <w:pStyle w:val="Compact"/>
            </w:pPr>
            <w:r>
              <w:t xml:space="preserve">.698</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0.97</w:t>
            </w:r>
          </w:p>
        </w:tc>
        <w:tc>
          <w:tcPr/>
          <w:p>
            <w:pPr>
              <w:pStyle w:val="Compact"/>
            </w:pPr>
            <w:r>
              <w:t xml:space="preserve">[0.91, 1.03]</w:t>
            </w:r>
          </w:p>
        </w:tc>
        <w:tc>
          <w:tcPr/>
          <w:p>
            <w:pPr>
              <w:pStyle w:val="Compact"/>
            </w:pPr>
            <w:r>
              <w:t xml:space="preserve">.274</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0.48</w:t>
            </w:r>
          </w:p>
        </w:tc>
        <w:tc>
          <w:tcPr/>
          <w:p>
            <w:pPr>
              <w:pStyle w:val="Compact"/>
            </w:pPr>
            <w:r>
              <w:t xml:space="preserve">[0.43, 0.55]</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0.60</w:t>
            </w:r>
          </w:p>
        </w:tc>
        <w:tc>
          <w:tcPr/>
          <w:p>
            <w:pPr>
              <w:pStyle w:val="Compact"/>
            </w:pPr>
            <w:r>
              <w:t xml:space="preserve">[0.54, 0.67]</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0.83</w:t>
            </w:r>
          </w:p>
        </w:tc>
        <w:tc>
          <w:tcPr/>
          <w:p>
            <w:pPr>
              <w:pStyle w:val="Compact"/>
            </w:pPr>
            <w:r>
              <w:t xml:space="preserve">[0.78, 0.89]</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0.98</w:t>
            </w:r>
          </w:p>
        </w:tc>
        <w:tc>
          <w:tcPr/>
          <w:p>
            <w:pPr>
              <w:pStyle w:val="Compact"/>
            </w:pPr>
            <w:r>
              <w:t xml:space="preserve">[0.92, 1.05]</w:t>
            </w:r>
          </w:p>
        </w:tc>
        <w:tc>
          <w:tcPr/>
          <w:p>
            <w:pPr>
              <w:pStyle w:val="Compact"/>
            </w:pPr>
            <w:r>
              <w:t xml:space="preserve">.553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0.48</w:t>
            </w:r>
          </w:p>
        </w:tc>
        <w:tc>
          <w:tcPr/>
          <w:p>
            <w:pPr>
              <w:pStyle w:val="Compact"/>
            </w:pPr>
            <w:r>
              <w:t xml:space="preserve">[0.43, 0.54]</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0.78</w:t>
            </w:r>
          </w:p>
        </w:tc>
        <w:tc>
          <w:tcPr/>
          <w:p>
            <w:pPr>
              <w:pStyle w:val="Compact"/>
            </w:pPr>
            <w:r>
              <w:t xml:space="preserve">[0.71, 0.86]</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0.851 (male) and 0.846 (female). The dominant behavioral covariate is near-identical across sexes (volume HR 0.48 vs 0.48).</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1.25</w:t>
            </w:r>
          </w:p>
        </w:tc>
        <w:tc>
          <w:tcPr/>
          <w:p>
            <w:pPr>
              <w:pStyle w:val="Compact"/>
            </w:pPr>
            <w:r>
              <w:t xml:space="preserve">[1.10, 1.42]</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[0.84, 0.98]</w:t>
            </w:r>
          </w:p>
        </w:tc>
        <w:tc>
          <w:tcPr/>
          <w:p>
            <w:pPr>
              <w:pStyle w:val="Compact"/>
            </w:pPr>
            <w:r>
              <w:t xml:space="preserve">.010</w:t>
            </w:r>
          </w:p>
        </w:tc>
      </w:tr>
      <w:tr>
        <w:tc>
          <w:tcPr/>
          <w:p>
            <w:pPr>
              <w:pStyle w:val="Compact"/>
            </w:pPr>
            <w:r>
              <w:t xml:space="preserve">HHI, ages 13–14 (z)</w:t>
            </w:r>
          </w:p>
        </w:tc>
        <w:tc>
          <w:tcPr/>
          <w:p>
            <w:pPr>
              <w:pStyle w:val="Compact"/>
            </w:pPr>
            <w:r>
              <w:t xml:space="preserve">0.90</w:t>
            </w:r>
          </w:p>
        </w:tc>
        <w:tc>
          <w:tcPr/>
          <w:p>
            <w:pPr>
              <w:pStyle w:val="Compact"/>
            </w:pPr>
            <w:r>
              <w:t xml:space="preserve">[0.84, 0.96]</w:t>
            </w:r>
          </w:p>
        </w:tc>
        <w:tc>
          <w:tcPr/>
          <w:p>
            <w:pPr>
              <w:pStyle w:val="Compact"/>
            </w:pPr>
            <w:r>
              <w:t xml:space="preserve">.003</w:t>
            </w:r>
          </w:p>
        </w:tc>
      </w:tr>
      <w:tr>
        <w:tc>
          <w:tcPr/>
          <w:p>
            <w:pPr>
              <w:pStyle w:val="Compact"/>
            </w:pPr>
            <w:r>
              <w:rPr>
                <w:b/>
                <w:bCs/>
              </w:rPr>
              <w:t xml:space="preserve">Volume at age 15–16 (z)</w:t>
            </w:r>
          </w:p>
        </w:tc>
        <w:tc>
          <w:tcPr/>
          <w:p>
            <w:pPr>
              <w:pStyle w:val="Compact"/>
            </w:pPr>
            <w:r>
              <w:t xml:space="preserve">0.71</w:t>
            </w:r>
          </w:p>
        </w:tc>
        <w:tc>
          <w:tcPr/>
          <w:p>
            <w:pPr>
              <w:pStyle w:val="Compact"/>
            </w:pPr>
            <w:r>
              <w:t xml:space="preserve">[0.65, 0.77]</w:t>
            </w:r>
          </w:p>
        </w:tc>
        <w:tc>
          <w:tcPr/>
          <w:p>
            <w:pPr>
              <w:pStyle w:val="Compact"/>
            </w:pPr>
            <w:r>
              <w:t xml:space="preserve">&lt; .001</w:t>
            </w:r>
          </w:p>
        </w:tc>
      </w:tr>
      <w:tr>
        <w:tc>
          <w:tcPr/>
          <w:p>
            <w:pPr>
              <w:pStyle w:val="Compact"/>
            </w:pPr>
            <w:r>
              <w:t xml:space="preserve">Championship types</w:t>
            </w:r>
          </w:p>
        </w:tc>
        <w:tc>
          <w:tcPr/>
          <w:p>
            <w:pPr>
              <w:pStyle w:val="Compact"/>
            </w:pPr>
            <w:r>
              <w:t xml:space="preserve">0.82</w:t>
            </w:r>
          </w:p>
        </w:tc>
        <w:tc>
          <w:tcPr/>
          <w:p>
            <w:pPr>
              <w:pStyle w:val="Compact"/>
            </w:pPr>
            <w:r>
              <w:t xml:space="preserve">[0.75, 0.90]</w:t>
            </w:r>
          </w:p>
        </w:tc>
        <w:tc>
          <w:tcPr/>
          <w:p>
            <w:pPr>
              <w:pStyle w:val="Compact"/>
            </w:pPr>
            <w:r>
              <w:t xml:space="preserve">&lt; .001</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0.696</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logistic analogue among athletes still active at 16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 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[1.10, 1.37]</w:t>
            </w:r>
          </w:p>
        </w:tc>
        <w:tc>
          <w:tcPr/>
          <w:p>
            <w:pPr>
              <w:pStyle w:val="Compact"/>
            </w:pPr>
            <w:r>
              <w:t xml:space="preserve">&lt; .001</w:t>
            </w:r>
          </w:p>
        </w:tc>
      </w:tr>
      <w:tr>
        <w:tc>
          <w:tcPr/>
          <w:p>
            <w:pPr>
              <w:pStyle w:val="Compact"/>
            </w:pPr>
            <w:r>
              <w:t xml:space="preserve">Tyrving (z)</w:t>
            </w:r>
          </w:p>
        </w:tc>
        <w:tc>
          <w:tcPr/>
          <w:p>
            <w:pPr>
              <w:pStyle w:val="Compact"/>
            </w:pPr>
            <w:r>
              <w:t xml:space="preserve">0.92</w:t>
            </w:r>
          </w:p>
        </w:tc>
        <w:tc>
          <w:tcPr/>
          <w:p>
            <w:pPr>
              <w:pStyle w:val="Compact"/>
            </w:pPr>
            <w:r>
              <w:t xml:space="preserve">[0.87, 0.97]</w:t>
            </w:r>
          </w:p>
        </w:tc>
        <w:tc>
          <w:tcPr/>
          <w:p>
            <w:pPr>
              <w:pStyle w:val="Compact"/>
            </w:pPr>
            <w:r>
              <w:t xml:space="preserve">.005</w:t>
            </w:r>
          </w:p>
        </w:tc>
      </w:tr>
      <w:tr>
        <w:tc>
          <w:tcPr/>
          <w:p>
            <w:pPr>
              <w:pStyle w:val="Compact"/>
            </w:pPr>
            <w:r>
              <w:t xml:space="preserve">HHI, ages 13–14 (z)</w:t>
            </w:r>
          </w:p>
        </w:tc>
        <w:tc>
          <w:tcPr/>
          <w:p>
            <w:pPr>
              <w:pStyle w:val="Compact"/>
            </w:pPr>
            <w:r>
              <w:t xml:space="preserve">0.95</w:t>
            </w:r>
          </w:p>
        </w:tc>
        <w:tc>
          <w:tcPr/>
          <w:p>
            <w:pPr>
              <w:pStyle w:val="Compact"/>
            </w:pPr>
            <w:r>
              <w:t xml:space="preserve">[0.90, 1.01]</w:t>
            </w:r>
          </w:p>
        </w:tc>
        <w:tc>
          <w:tcPr/>
          <w:p>
            <w:pPr>
              <w:pStyle w:val="Compact"/>
            </w:pPr>
            <w:r>
              <w:t xml:space="preserve">.079</w:t>
            </w:r>
          </w:p>
        </w:tc>
      </w:tr>
      <w:tr>
        <w:tc>
          <w:tcPr/>
          <w:p>
            <w:pPr>
              <w:pStyle w:val="Compact"/>
            </w:pPr>
            <w:r>
              <w:rPr>
                <w:b/>
                <w:bCs/>
              </w:rPr>
              <w:t xml:space="preserve">Volume at age 15–16 (z)</w:t>
            </w:r>
          </w:p>
        </w:tc>
        <w:tc>
          <w:tcPr/>
          <w:p>
            <w:pPr>
              <w:pStyle w:val="Compact"/>
            </w:pPr>
            <w:r>
              <w:t xml:space="preserve">0.54</w:t>
            </w:r>
          </w:p>
        </w:tc>
        <w:tc>
          <w:tcPr/>
          <w:p>
            <w:pPr>
              <w:pStyle w:val="Compact"/>
            </w:pPr>
            <w:r>
              <w:t xml:space="preserve">[0.50, 0.59]</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[0.70, 0.83]</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0.789.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models that adjust for sex except the mean-imputation check in Table S5; included in cohort totals, the fixed-effects model and full-cohort descriptive analyses)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Change model among athletes active at 16</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Baseline-only Cox (Supplementary Tables S10, S16, S30)</w:t>
            </w:r>
          </w:p>
        </w:tc>
        <w:tc>
          <w:tcPr/>
          <w:p>
            <w:pPr>
              <w:pStyle w:val="Compact"/>
            </w:pPr>
            <w:r>
              <w:t xml:space="preserve">1,908</w:t>
            </w:r>
          </w:p>
        </w:tc>
        <w:tc>
          <w:tcPr/>
          <w:p>
            <w:pPr>
              <w:pStyle w:val="Compact"/>
            </w:pPr>
            <w: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t xml:space="preserve">Landmark Cox at age 16</w:t>
            </w:r>
          </w:p>
        </w:tc>
        <w:tc>
          <w:tcPr/>
          <w:p>
            <w:pPr>
              <w:pStyle w:val="Compact"/>
            </w:pPr>
            <w:r>
              <w:t xml:space="preserve">1,147</w:t>
            </w:r>
          </w:p>
        </w:tc>
        <w:tc>
          <w:tcPr/>
          <w:p>
            <w:pPr>
              <w:pStyle w:val="Compact"/>
            </w:pPr>
            <w:r>
              <w:t xml:space="preserve">Of 1,148 athletes still in their career at 16 (final active season at 16 or later);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Map of the main analysis samples;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1.83</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1.16</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1.06</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 Region could not be determined for 2 athletes, who fall in the reference region (western Norway).</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.042</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.028</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.059</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1.54</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.013</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db0524e60331b00b314991104db8094c3fd0d54"/>
    <w:p>
      <w:pPr>
        <w:pStyle w:val="Heading2"/>
      </w:pPr>
      <w:r>
        <w:t xml:space="preserve">Table S15. Baseline-window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0.83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 AUCs (± SD over folds) are from a single stratified 5-fold split (seed 42), as in the original analysis.</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1.34]</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2.07</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no predictor is measured after exit; for 269 of the 1,088, 16 was the final active season, so their change from 15 to 16 ends in that season. In the level form, volume at 15 had OR = 1.03 per meet [1.01, 1.05] once volume at 16 was known.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corrected index is undefined for the 12 athletes with a single result at ages 13–14.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CV-AUCs use 20 cross-validation splits (with imputation, one per imputed dataset), so the submitted complete-case value differs slightly from that of the submission’s single split (0.751; Supplementary Table S26).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(maximum likelihood)</w:t>
            </w:r>
          </w:p>
        </w:tc>
        <w:tc>
          <w:tcPr/>
          <w:p>
            <w:pPr>
              <w:pStyle w:val="Compact"/>
            </w:pPr>
            <w:r>
              <w:t xml:space="preserve">2.07 [1.80, 2.37]</w:t>
            </w:r>
          </w:p>
        </w:tc>
        <w:tc>
          <w:tcPr/>
          <w:p>
            <w:pPr>
              <w:pStyle w:val="Compact"/>
            </w:pPr>
            <w:r>
              <w:t xml:space="preserve">2,136</w:t>
            </w:r>
          </w:p>
        </w:tc>
      </w:tr>
      <w:tr>
        <w:tc>
          <w:tcPr/>
          <w:p>
            <w:pPr>
              <w:pStyle w:val="Compact"/>
            </w:pPr>
            <w:r>
              <w:t xml:space="preserve">HHI OR, club random intercepts (maximum likelihood)</w:t>
            </w:r>
          </w:p>
        </w:tc>
        <w:tc>
          <w:tcPr/>
          <w:p>
            <w:pPr>
              <w:pStyle w:val="Compact"/>
            </w:pPr>
            <w:r>
              <w:t xml:space="preserve">1.17 [1.03, 1.34]</w:t>
            </w:r>
          </w:p>
        </w:tc>
        <w:tc>
          <w:tcPr/>
          <w:p>
            <w:pPr>
              <w:pStyle w:val="Compact"/>
            </w:pPr>
            <w:r>
              <w:t xml:space="preserve">2,136</w:t>
            </w:r>
          </w:p>
        </w:tc>
      </w:tr>
      <w:tr>
        <w:tc>
          <w:tcPr/>
          <w:p>
            <w:pPr>
              <w:pStyle w:val="Compact"/>
            </w:pPr>
            <w:r>
              <w:t xml:space="preserve">SD of the club intercepts (log-odds); likelihood-ratio test of no club variation</w:t>
            </w:r>
          </w:p>
        </w:tc>
        <w:tc>
          <w:tcPr/>
          <w:p>
            <w:pPr>
              <w:pStyle w:val="Compact"/>
            </w:pPr>
            <w:r>
              <w:t xml:space="preserve">0.17; p = .311</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Volume OR, club fixed effects (conditional logit; comparisons within clubs)</w:t>
            </w:r>
          </w:p>
        </w:tc>
        <w:tc>
          <w:tcPr/>
          <w:p>
            <w:pPr>
              <w:pStyle w:val="Compact"/>
            </w:pPr>
            <w:r>
              <w:t xml:space="preserve">2.28 [1.93, 2.69]</w:t>
            </w:r>
          </w:p>
        </w:tc>
        <w:tc>
          <w:tcPr/>
          <w:p>
            <w:pPr>
              <w:pStyle w:val="Compact"/>
            </w:pPr>
            <w:r>
              <w:t xml:space="preserve">1,698 athletes in the 127 clubs with both outcomes</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(club fixed effects) is, if anything, slightly larger than the pooled estimate, club-clustered and population-averaged estimates give the same odds ratio, the clubs differ little in retention itself, and discrimination is unchanged when validation clubs are held out of fitting. The random-intercept model is fitted by maximum likelihood (club intercepts integrated out with 40-node Gauss–Hermite quadrature; Wald intervals); the submission used a variational Bayes approximation, which understates uncertainty: 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 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further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 Calibration-in-the-large is the intercept of a logistic model with the linear predictor as offset; the submitted Table S23 reported instead the intercept estimated jointly with the slope (−0.06), a different quantity.</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(baseline window)</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[5.9, 9.6]</w:t>
            </w:r>
          </w:p>
        </w:tc>
        <w:tc>
          <w:tcPr/>
          <w:p>
            <w:pPr>
              <w:pStyle w:val="Compact"/>
            </w:pPr>
            <w:r>
              <w:t xml:space="preserve">29.0% [25.0, 32.9]</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0.64]</w:t>
            </w:r>
          </w:p>
        </w:tc>
        <w:tc>
          <w:tcPr/>
          <w:p>
            <w:pPr>
              <w:pStyle w:val="Compact"/>
            </w:pPr>
            <w:r>
              <w:t xml:space="preserve">0.70 [0.63, 0.78]</w:t>
            </w:r>
          </w:p>
        </w:tc>
        <w:tc>
          <w:tcPr/>
          <w:p>
            <w:pPr>
              <w:pStyle w:val="Compact"/>
            </w:pPr>
            <w:r>
              <w:t xml:space="preserve">0.91 [0.88, 0.93]</w:t>
            </w:r>
          </w:p>
        </w:tc>
        <w:tc>
          <w:tcPr/>
          <w:p>
            <w:pPr>
              <w:pStyle w:val="Compact"/>
            </w:pPr>
            <w:r>
              <w:t xml:space="preserve">9.1% [6.6, 11.8]</w:t>
            </w:r>
          </w:p>
        </w:tc>
        <w:tc>
          <w:tcPr/>
          <w:p>
            <w:pPr>
              <w:pStyle w:val="Compact"/>
            </w:pPr>
            <w:r>
              <w:t xml:space="preserve">26.9% [22.5, 31.4]</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[0.49, 0.65]</w:t>
            </w:r>
          </w:p>
        </w:tc>
        <w:tc>
          <w:tcPr/>
          <w:p>
            <w:pPr>
              <w:pStyle w:val="Compact"/>
            </w:pPr>
            <w:r>
              <w:t xml:space="preserve">0.90 [0.87, 0.92]</w:t>
            </w:r>
          </w:p>
        </w:tc>
        <w:tc>
          <w:tcPr/>
          <w:p>
            <w:pPr>
              <w:pStyle w:val="Compact"/>
            </w:pPr>
            <w:r>
              <w:t xml:space="preserve">10.3% [7.8, 12.7]</w:t>
            </w:r>
          </w:p>
        </w:tc>
        <w:tc>
          <w:tcPr/>
          <w:p>
            <w:pPr>
              <w:pStyle w:val="Compact"/>
            </w:pPr>
            <w:r>
              <w:t xml:space="preserve">33.8% [27.5, 39.6]</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[0.45, 0.58]</w:t>
            </w:r>
          </w:p>
        </w:tc>
        <w:tc>
          <w:tcPr/>
          <w:p>
            <w:pPr>
              <w:pStyle w:val="Compact"/>
            </w:pPr>
            <w:r>
              <w:t xml:space="preserve">0.90 [0.88, 0.92]</w:t>
            </w:r>
          </w:p>
        </w:tc>
        <w:tc>
          <w:tcPr/>
          <w:p>
            <w:pPr>
              <w:pStyle w:val="Compact"/>
            </w:pPr>
            <w:r>
              <w:t xml:space="preserve">10.1% [8.2, 11.9]</w:t>
            </w:r>
          </w:p>
        </w:tc>
        <w:tc>
          <w:tcPr/>
          <w:p>
            <w:pPr>
              <w:pStyle w:val="Compact"/>
            </w:pPr>
            <w:r>
              <w:t xml:space="preserve">34.8% [29.6, 40.3]</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0.740</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0.680</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w:t>
      </w:r>
      <w:r>
        <w:t xml:space="preserve"> </w:t>
      </w:r>
      <w:r>
        <w:rPr>
          <w:i/>
          <w:iCs/>
        </w:rPr>
        <w:t xml:space="preserve">p</w:t>
      </w:r>
      <w:r>
        <w:t xml:space="preserve"> </w:t>
      </w:r>
      <w:r>
        <w:t xml:space="preserve">= .42.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district, youth-national, junior-national, and senior-national championships; classification in Supplementary Methods S-M12).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 Declining competition participation 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 cross-validated discrimination and calibration, internal cohort replication, candidate threshold)</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 register extract of May 2026, Supplementary Methods S-M12)</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 active-at-16 change model + athlete fixed-effects model, S-M6), S-M1 (landmark timing), §3.4/S-M7 (club confounding; club-grouped validation, S-M4), S-M10 (temporary gaps and returns), §4.2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 §2.5.1 (z-standardization, within training folds in cross-validation;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 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 §2.4.1 and §2.5.4 (censoring for athletes active 2024+), Supplementary Table S24 (fixed observation window);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 S22, S24,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(baseline Tyrving and sex missing for the same 2 athletes, 0.1%; HHI, volume and the outcome complete);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 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2026-10-03T14:13:12Z</dcterms:created>
  <dcterms:modified xsi:type="dcterms:W3CDTF">2026-10-03T14:13:12Z</dcterms:modified>
</cp:coreProperties>
</file>

<file path=docProps/custom.xml><?xml version="1.0" encoding="utf-8"?>
<Properties xmlns="http://schemas.openxmlformats.org/officeDocument/2006/custom-properties" xmlns:vt="http://schemas.openxmlformats.org/officeDocument/2006/docPropsVTypes"/>
</file>