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track and field — a broad-participation individual sport at younger ages that progressively narrows into a talent-selective pathway during the teens —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BodyText"/>
      </w:pPr>
      <w:r>
        <w:t xml:space="preserve">[</w:t>
      </w:r>
      <w:r>
        <w:rPr>
          <w:b/>
          <w:bCs/>
        </w:rPr>
        <w:t xml:space="preserve">Figure 3 about here</w:t>
      </w:r>
      <w:r>
        <w:t xml:space="preserve">]</w:t>
      </w:r>
    </w:p>
    <w:bookmarkEnd w:id="39"/>
    <w:bookmarkStart w:id="40"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p>
      <w:pPr>
        <w:pStyle w:val="BodyText"/>
      </w:pPr>
      <w:r>
        <w:t xml:space="preserve">[</w:t>
      </w:r>
      <w:r>
        <w:rPr>
          <w:b/>
          <w:bCs/>
        </w:rPr>
        <w:t xml:space="preserve">Table 3 about here</w:t>
      </w:r>
      <w:r>
        <w:t xml:space="preserve">]</w:t>
      </w:r>
    </w:p>
    <w:bookmarkEnd w:id="40"/>
    <w:bookmarkStart w:id="41"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41"/>
    <w:bookmarkStart w:id="42"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p>
      <w:pPr>
        <w:pStyle w:val="BodyText"/>
      </w:pPr>
      <w:r>
        <w:t xml:space="preserve">[</w:t>
      </w:r>
      <w:r>
        <w:rPr>
          <w:b/>
          <w:bCs/>
        </w:rPr>
        <w:t xml:space="preserve">Table 4 about here</w:t>
      </w:r>
      <w:r>
        <w:t xml:space="preserve">]</w:t>
      </w:r>
    </w:p>
    <w:bookmarkEnd w:id="42"/>
    <w:bookmarkStart w:id="43"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43"/>
    <w:bookmarkStart w:id="44"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44"/>
    <w:bookmarkStart w:id="45"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5"/>
    <w:bookmarkStart w:id="46"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46"/>
    <w:bookmarkStart w:id="47"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49"/>
    <w:bookmarkStart w:id="50"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50"/>
    <w:bookmarkStart w:id="51"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51"/>
    <w:bookmarkStart w:id="52"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respectively.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stretching to 11). Wall and Côté’s (2007) investor-versus-sampler distinction and Espedalen’s (2025) engaged-enthusiasts-versus-constrained-casuals account both predict bifurcating behavioral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2"/>
    <w:bookmarkStart w:id="53"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3"/>
    <w:bookmarkStart w:id="54"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finds that</w:t>
      </w:r>
      <w:r>
        <w:t xml:space="preserve"> </w:t>
      </w:r>
      <w:r>
        <w:rPr>
          <w:i/>
          <w:iCs/>
        </w:rPr>
        <w:t xml:space="preserve">peak performance</w:t>
      </w:r>
      <w:r>
        <w:t xml:space="preserve"> </w:t>
      </w:r>
      <w:r>
        <w:t xml:space="preserve">is supported by early multidisciplinary practice. Our data on</w:t>
      </w:r>
      <w:r>
        <w:t xml:space="preserve"> </w:t>
      </w:r>
      <w:r>
        <w:rPr>
          <w:i/>
          <w:iCs/>
        </w:rPr>
        <w:t xml:space="preserve">retention</w:t>
      </w:r>
      <w:r>
        <w:t xml:space="preserve"> </w:t>
      </w:r>
      <w:r>
        <w:t xml:space="preserve">point the opposite way: higher baseline event-category concentration (specialization in fewer events) is associated with higher senior retention (OR = 1.35 per SD of HHI, 95% CI [1.16, 1.57]; combined logistic model). The effect was present in both cohorts (A: OR 1.22; B: OR 1.58) and survived in the time-to-cessation Cox model (HR = 0.80).</w:t>
      </w:r>
    </w:p>
    <w:p>
      <w:pPr>
        <w:pStyle w:val="BodyText"/>
      </w:pPr>
      <w:r>
        <w:t xml:space="preserve">We see three possible reconciliations: (i) peak-performance and retention are different outcomes, and the burnout-from-early-specialization argument concerns elite trajectories rather than everyday participation; (ii)</w:t>
      </w:r>
      <w:r>
        <w:t xml:space="preserve"> </w:t>
      </w:r>
      <w:r>
        <w:t xml:space="preserve">“specialization”</w:t>
      </w:r>
      <w:r>
        <w:t xml:space="preserve"> </w:t>
      </w:r>
      <w:r>
        <w:t xml:space="preserve">at ages 13–14 in this register may proxy for family/club-supported sustained engagement rather than for performance optimization; (iii) our soft-selected cohort comprises already-engaged adolescents, so the protective effect may be retention-given-engagement, not whether-to-engage. We frame this as a contrast with the established literature rather than a refutation — both can be correct about their respective outcomes.</w:t>
      </w:r>
    </w:p>
    <w:bookmarkEnd w:id="54"/>
    <w:bookmarkStart w:id="55"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55"/>
    <w:bookmarkStart w:id="56" w:name="practical-implications"/>
    <w:p>
      <w:pPr>
        <w:pStyle w:val="Heading2"/>
      </w:pPr>
      <w:r>
        <w:t xml:space="preserve">4.8 Practical implications</w:t>
      </w:r>
    </w:p>
    <w:p>
      <w:pPr>
        <w:pStyle w:val="FirstParagraph"/>
      </w:pPr>
      <w:r>
        <w:t xml:space="preserve">What can a federation or club concretely do with these findings? Four implications follow directly from the analyses above.</w:t>
      </w:r>
    </w:p>
    <w:p>
      <w:pPr>
        <w:pStyle w:val="BodyText"/>
      </w:pPr>
      <w:r>
        <w:rPr>
          <w:b/>
          <w:bCs/>
        </w:rPr>
        <w:t xml:space="preserve">(1) Use register-based behavioural surveillance to identify at-risk athletes early.</w:t>
      </w:r>
      <w:r>
        <w:t xml:space="preserve"> </w:t>
      </w:r>
      <w:r>
        <w:t xml:space="preserve">At the end of each athlete’s age-14 season, a federation can flag athletes whose combined ages-13–14 competition count falls below a chosen threshold. Because pre-milestone volume is observable in the register without any athlete contact, this can be automated. A moderate threshold (&lt; 10 meets, flagging ~26% of athletes) yields a positive predictive value of 0.94: among flagged athletes, roughly 94 in 100 will drop out before senior age — about 10 percentage points above the cohort-wide dropout base rate of 84%, with the additional benefit of identifying</w:t>
      </w:r>
      <w:r>
        <w:t xml:space="preserve"> </w:t>
      </w:r>
      <w:r>
        <w:rPr>
          <w:i/>
          <w:iCs/>
        </w:rPr>
        <w:t xml:space="preserve">which</w:t>
      </w:r>
      <w:r>
        <w:t xml:space="preserve"> </w:t>
      </w:r>
      <w:r>
        <w:t xml:space="preserve">athletes specifically. Thresholds can be tuned to operational capacity: a strict flag (&lt; 5 meets, 9% flagged, PPV 0.93) targets the most extreme cases; a permissive flag (&lt; 15 meets, 43% flagged, PPV 0.93) supports broader outreach. The choice is operational, not statistical.</w:t>
      </w:r>
    </w:p>
    <w:p>
      <w:pPr>
        <w:pStyle w:val="BodyText"/>
      </w:pPr>
      <w:r>
        <w:rPr>
          <w:b/>
          <w:bCs/>
        </w:rPr>
        <w:t xml:space="preserve">(2) Re-flag after the age-15 season using within-athlete change.</w:t>
      </w:r>
      <w:r>
        <w:t xml:space="preserve"> </w:t>
      </w:r>
      <w:r>
        <w:t xml:space="preserve">Volume</w:t>
      </w:r>
      <w:r>
        <w:t xml:space="preserve"> </w:t>
      </w:r>
      <w:r>
        <w:rPr>
          <w:i/>
          <w:iCs/>
        </w:rPr>
        <w:t xml:space="preserve">level</w:t>
      </w:r>
      <w:r>
        <w:t xml:space="preserve"> </w:t>
      </w:r>
      <w:r>
        <w:t xml:space="preserve">at age 14 and volume</w:t>
      </w:r>
      <w:r>
        <w:t xml:space="preserve"> </w:t>
      </w:r>
      <w:r>
        <w:rPr>
          <w:i/>
          <w:iCs/>
        </w:rPr>
        <w:t xml:space="preserve">change</w:t>
      </w:r>
      <w:r>
        <w:t xml:space="preserve"> </w:t>
      </w:r>
      <w:r>
        <w:t xml:space="preserve">from age 14 to 15 each contribute substantial and independent predictive information (Section 3.6, Table 4). A complementary screen at the end of an athlete’s age-15 season — using year-on-year change rather than only level — catches athletes who began high but are pulling back. In operational terms, federations should screen at</w:t>
      </w:r>
      <w:r>
        <w:t xml:space="preserve"> </w:t>
      </w:r>
      <w:r>
        <w:rPr>
          <w:i/>
          <w:iCs/>
        </w:rPr>
        <w:t xml:space="preserve">two</w:t>
      </w:r>
      <w:r>
        <w:t xml:space="preserve"> </w:t>
      </w:r>
      <w:r>
        <w:t xml:space="preserve">points: end of age 14 (level) and end of age 15 (change), with athletes flagged at either trigger.</w:t>
      </w:r>
    </w:p>
    <w:p>
      <w:pPr>
        <w:pStyle w:val="BodyText"/>
      </w:pPr>
      <w:r>
        <w:rPr>
          <w:b/>
          <w:bCs/>
        </w:rPr>
        <w:t xml:space="preserve">(3) Lower the friction for the next-year competition cycle, rather than only nominating coaches.</w:t>
      </w:r>
      <w:r>
        <w:t xml:space="preserve"> </w:t>
      </w:r>
      <w:r>
        <w:t xml:space="preserve">Because our predictor is registered competition behavior and our outcome is also registered competition behavior, the most direct downstream intervention is to make the</w:t>
      </w:r>
      <w:r>
        <w:t xml:space="preserve"> </w:t>
      </w:r>
      <w:r>
        <w:rPr>
          <w:i/>
          <w:iCs/>
        </w:rPr>
        <w:t xml:space="preserve">next</w:t>
      </w:r>
      <w:r>
        <w:t xml:space="preserve"> </w:t>
      </w:r>
      <w:r>
        <w:t xml:space="preserve">registered competition easier for flagged athletes: subsidize travel to the regional qualification meet, waive entry fees, organize coach-accompanied transport, schedule low-stakes practice meets during the spring before the age-15 season, and make explicit that participation is welcome regardless of qualifying performance. Each of these actions changes the cost side of the engagement balance (Scanlan et al., 1993, 2016) that our data describe. Coach phone calls and parent contact are useful complements; on their own, they do not lower the structural barriers to the next meet entry.</w:t>
      </w:r>
    </w:p>
    <w:p>
      <w:pPr>
        <w:pStyle w:val="BodyText"/>
      </w:pPr>
      <w:r>
        <w:rPr>
          <w:b/>
          <w:bCs/>
        </w:rPr>
        <w:t xml:space="preserve">(4) Be cautious about prescribing diversification for retention.</w:t>
      </w:r>
      <w:r>
        <w:t xml:space="preserve"> </w:t>
      </w:r>
      <w:r>
        <w:t xml:space="preserve">The international diversification literature recommends multidisciplinary practice for</w:t>
      </w:r>
      <w:r>
        <w:t xml:space="preserve"> </w:t>
      </w:r>
      <w:r>
        <w:rPr>
          <w:i/>
          <w:iCs/>
        </w:rPr>
        <w:t xml:space="preserve">peak performance</w:t>
      </w:r>
      <w:r>
        <w:t xml:space="preserve">. Our retention finding goes the other way — higher baseline specialization (HHI) was associated with higher retention, possibly because in this population sustained focus reflects family/club-supported engagement rather than performance-optimisation calculus. The honest recommendation is therefore</w:t>
      </w:r>
      <w:r>
        <w:t xml:space="preserve"> </w:t>
      </w:r>
      <w:r>
        <w:rPr>
          <w:i/>
          <w:iCs/>
        </w:rPr>
        <w:t xml:space="preserve">not</w:t>
      </w:r>
      <w:r>
        <w:t xml:space="preserve"> </w:t>
      </w:r>
      <w:r>
        <w:t xml:space="preserve">to push event diversification as a retention strategy in this age group; if there is a retention case for diversification it has not appeared in our register, and forced diversification could disrupt the conditions that sustain engagement among committed adolescents.</w:t>
      </w:r>
    </w:p>
    <w:p>
      <w:pPr>
        <w:pStyle w:val="BodyText"/>
      </w:pPr>
      <w:r>
        <w:t xml:space="preserve">A final note. Behavioural surveillance is a complement to, not a replacement for, commitment- and motivation-focused instruments such as the SCQ-2 (Scanlan et al., 2016): the behavioural signal identifies</w:t>
      </w:r>
      <w:r>
        <w:t xml:space="preserve"> </w:t>
      </w:r>
      <w:r>
        <w:rPr>
          <w:i/>
          <w:iCs/>
        </w:rPr>
        <w:t xml:space="preserve">whom</w:t>
      </w:r>
      <w:r>
        <w:t xml:space="preserve"> </w:t>
      </w:r>
      <w:r>
        <w:t xml:space="preserve">to reach out to, but understanding</w:t>
      </w:r>
      <w:r>
        <w:t xml:space="preserve"> </w:t>
      </w:r>
      <w:r>
        <w:rPr>
          <w:i/>
          <w:iCs/>
        </w:rPr>
        <w:t xml:space="preserve">why</w:t>
      </w:r>
      <w:r>
        <w:t xml:space="preserve"> </w:t>
      </w:r>
      <w:r>
        <w:t xml:space="preserve">an athlete is pulling back — and what would help — still requires conversation with the athlete and, ideally, brief structured assessment of the engagement balance.</w:t>
      </w:r>
    </w:p>
    <w:bookmarkEnd w:id="56"/>
    <w:bookmarkStart w:id="57"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57"/>
    <w:bookmarkStart w:id="58"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58"/>
    <w:bookmarkStart w:id="5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59"/>
    <w:bookmarkStart w:id="6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2026-05-18T19:39:35Z</dcterms:created>
  <dcterms:modified xsi:type="dcterms:W3CDTF">2026-05-18T19:39:35Z</dcterms:modified>
</cp:coreProperties>
</file>

<file path=docProps/custom.xml><?xml version="1.0" encoding="utf-8"?>
<Properties xmlns="http://schemas.openxmlformats.org/officeDocument/2006/custom-properties" xmlns:vt="http://schemas.openxmlformats.org/officeDocument/2006/docPropsVTypes"/>
</file>