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a federation can flag athletes whose combined ages-13–14 competition count falls below a chosen threshold. Because pre-milestone volume is observable in the register without any athlete contact, this can be automated. A moderate threshold (&lt; 10 meets, flagging ~26% of athletes) yields a positive predictive value of 0.94: among flagged athletes, roughly 94 in 100 are on a trajectory to drop out before senior age (94 percentage points above the no-action baseline of letting the 16% retention rate run its course; 9–12 points above an</w:t>
      </w:r>
      <w:r>
        <w:t xml:space="preserve"> </w:t>
      </w:r>
      <w:r>
        <w:t xml:space="preserve">“everyone drops out”</w:t>
      </w:r>
      <w:r>
        <w:t xml:space="preserve"> </w:t>
      </w:r>
      <w:r>
        <w:t xml:space="preserve">base-rate prediction). Thresholds can be tuned to operational capacity: a strict flag (&lt; 5 meets, 9% flagged, PPV 0.93) targets the most extreme cases; a permissive flag (&lt; 15 meets, 43% flagged, PPV 0.93) supports broader outreach. The choice is operational, not statistical.</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 rather than only nominating coaches.</w:t>
      </w:r>
      <w:r>
        <w:t xml:space="preserve"> </w:t>
      </w:r>
      <w:r>
        <w:t xml:space="preserve">Because our predictor is registered competition behavior and our outcome is also registered competition behavior, the most direct downstream intervention is to make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make explicit that participation is welcome regardless of qualifying performance. Each of these actions changes the cost side of the engagement balance (Scanlan et al., 1993, 2016) that our data describe. Coach phone calls and parent contact are useful complements; on their own, they do not lower the structural barriers to the next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A final note. Behavioural surveillance is a complement to, not a replacement for, commitment- and motivation-focused instruments such as the SCQ-2 (Scanlan et al., 2016): the behavioural signal identifies</w:t>
      </w:r>
      <w:r>
        <w:t xml:space="preserve"> </w:t>
      </w:r>
      <w:r>
        <w:rPr>
          <w:i/>
          <w:iCs/>
        </w:rPr>
        <w:t xml:space="preserve">whom</w:t>
      </w:r>
      <w:r>
        <w:t xml:space="preserve"> </w:t>
      </w:r>
      <w:r>
        <w:t xml:space="preserve">to reach out to, but understanding</w:t>
      </w:r>
      <w:r>
        <w:t xml:space="preserve"> </w:t>
      </w:r>
      <w:r>
        <w:rPr>
          <w:i/>
          <w:iCs/>
        </w:rPr>
        <w:t xml:space="preserve">why</w:t>
      </w:r>
      <w:r>
        <w:t xml:space="preserve"> </w:t>
      </w:r>
      <w:r>
        <w:t xml:space="preserve">an athlete is pulling back — and what would help — still requires conversation with the athlete and, ideally, brief structured assessment of the engagement balance.</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2026-05-18T19:38:32Z</dcterms:created>
  <dcterms:modified xsi:type="dcterms:W3CDTF">2026-05-18T19:38:32Z</dcterms:modified>
</cp:coreProperties>
</file>

<file path=docProps/custom.xml><?xml version="1.0" encoding="utf-8"?>
<Properties xmlns="http://schemas.openxmlformats.org/officeDocument/2006/custom-properties" xmlns:vt="http://schemas.openxmlformats.org/officeDocument/2006/docPropsVTypes"/>
</file>