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e301dcd7d19d810c27021dbd66be38f11efdc79"/>
    <w:p>
      <w:pPr>
        <w:pStyle w:val="Heading1"/>
      </w:pPr>
      <w:r>
        <w:t xml:space="preserve">Pulling back before pulling out: Behavioral disengagement precedes youth-sport dropout by years in a 14-year register study</w:t>
      </w:r>
    </w:p>
    <w:p>
      <w:pPr>
        <w:pStyle w:val="FirstParagraph"/>
      </w:pPr>
      <w:r>
        <w:rPr>
          <w:b/>
          <w:bCs/>
        </w:rPr>
        <w:t xml:space="preserve">Running title:</w:t>
      </w:r>
      <w:r>
        <w:t xml:space="preserve"> </w:t>
      </w:r>
      <w:r>
        <w:t xml:space="preserve">Behavioral disengagement precedes youth-sport dropout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Future dropouts from organized youth sport pull back from competition years before formal exit. Although qualitative research has long described this gradual disengagement, its longitudinal behavioral signature has been hard to observe directly. We use Norway’s public competition register to test whether baseline-window behavior predicts senior retention prospectively.</w:t>
      </w:r>
    </w:p>
    <w:p>
      <w:pPr>
        <w:pStyle w:val="BodyText"/>
      </w:pPr>
      <w:r>
        <w:rPr>
          <w:b/>
          <w:bCs/>
        </w:rPr>
        <w:t xml:space="preserve">Method.</w:t>
      </w:r>
      <w:r>
        <w:t xml:space="preserve"> </w:t>
      </w:r>
      <w:r>
        <w:t xml:space="preserve">We followed 2,123 athletes who participated as 13–14-year-olds in six consecutive editions of a regional youth track-and-field meet (2011–2016; birth cohorts 1998–2002), recording annual competition counts, event diversification, championship participation, and Tyrving age-norm performance through 2025 — a maximum 14-year follow-up. The primary outcome was binary active senior status (≥2 results in any year at age 20+), estimated by logistic regression using only ages-13–14 predictors. Sensitivity analyses included structural controls, a pull-back versus baseline-heterogeneity decomposition, and Cox time-to-cessation.</w:t>
      </w:r>
    </w:p>
    <w:p>
      <w:pPr>
        <w:pStyle w:val="BodyText"/>
      </w:pPr>
      <w:r>
        <w:rPr>
          <w:b/>
          <w:bCs/>
        </w:rPr>
        <w:t xml:space="preserve">Results.</w:t>
      </w:r>
      <w:r>
        <w:t xml:space="preserve"> </w:t>
      </w:r>
      <w:r>
        <w:t xml:space="preserve">Baseline-window volume (ages 13–14) was the dominant predictor of senior retention (OR = 2.40 per SD, 95% CI [2.07, 2.78]; cross-validated AUC = 0.751). Estimates were unchanged with structural controls. The signal decomposed into two independent components: athletes differed in volume at age 14 (OR = 2.79 per SD) and a within-athlete decline across ages 14–15 added information (OR = 2.44 per SD; pseudo-</w:t>
      </w:r>
      <w:r>
        <w:rPr>
          <w:i/>
          <w:iCs/>
        </w:rPr>
        <w:t xml:space="preserve">R</w:t>
      </w:r>
      <w:r>
        <w:t xml:space="preserve">² doubled). Effects replicated across cohorts and withstood an E-value of 5.16. Higher baseline specialization was protective — opposite to the diversification literature for peak performance.</w:t>
      </w:r>
    </w:p>
    <w:p>
      <w:pPr>
        <w:pStyle w:val="BodyText"/>
      </w:pPr>
      <w:r>
        <w:rPr>
          <w:b/>
          <w:bCs/>
        </w:rPr>
        <w:t xml:space="preserve">Conclusions.</w:t>
      </w:r>
      <w:r>
        <w:t xml:space="preserve"> </w:t>
      </w:r>
      <w:r>
        <w:t xml:space="preserve">Register-based behavior at the end of the age-14 season identifies athletes at high risk of dropout (PPV ≈ 0.94 at moderate thresholds), providing a prospective tool to complement survey-based commitment instruments.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elite-oriented sports such as track and field, more than half of children who participate at age 13 have left organized competition by age 17 (Bakken, 2019; Norges Idrettsforbund, 2024). The temporal structure of this attrition —</w:t>
      </w:r>
      <w:r>
        <w:t xml:space="preserve"> </w:t>
      </w:r>
      <w:r>
        <w:rPr>
          <w:i/>
          <w:iCs/>
        </w:rPr>
        <w:t xml:space="preserve">when</w:t>
      </w:r>
      <w:r>
        <w:t xml:space="preserve"> </w:t>
      </w:r>
      <w:r>
        <w:t xml:space="preserve">and</w:t>
      </w:r>
      <w:r>
        <w:t xml:space="preserve"> </w:t>
      </w:r>
      <w:r>
        <w:rPr>
          <w:i/>
          <w:iCs/>
        </w:rPr>
        <w:t xml:space="preserve">how</w:t>
      </w:r>
      <w:r>
        <w:t xml:space="preserve"> </w:t>
      </w:r>
      <w:r>
        <w:t xml:space="preserve">withdrawal becomes observable in athlete behavior — has been hard to pin down with the data designs the field has employed.</w:t>
      </w:r>
    </w:p>
    <w:bookmarkEnd w:id="10"/>
    <w:bookmarkStart w:id="11" w:name="Xaa125b98d4201074f48641b593d8557f7166e49"/>
    <w:p>
      <w:pPr>
        <w:pStyle w:val="Heading2"/>
      </w:pPr>
      <w:r>
        <w:t xml:space="preserve">1.1 Dropout as a deliberative, gradual process</w:t>
      </w:r>
    </w:p>
    <w:p>
      <w:pPr>
        <w:pStyle w:val="FirstParagraph"/>
      </w:pPr>
      <w:r>
        <w:t xml:space="preserve">The dominant theoretical account is that</w:t>
      </w:r>
      <w:r>
        <w:t xml:space="preserve"> </w:t>
      </w:r>
      <w:r>
        <w:rPr>
          <w:i/>
          <w:iCs/>
        </w:rPr>
        <w:t xml:space="preserve">dropout is a process, not a moment</w:t>
      </w:r>
      <w:r>
        <w:t xml:space="preserve">. The Sport Commitment Model (SCM; Scanlan et al., 1993, 2016) frames continued participation as a balance of sport enjoyment, personal investments, social constraints, opportunities, and attractive alternatives — a balance that erodes incrementally rather than collapsing in a single decision. Kretchmar’s (2000) account of</w:t>
      </w:r>
      <w:r>
        <w:t xml:space="preserve"> </w:t>
      </w:r>
      <w:r>
        <w:rPr>
          <w:i/>
          <w:iCs/>
        </w:rPr>
        <w:t xml:space="preserve">meaningful engagement</w:t>
      </w:r>
      <w:r>
        <w:t xml:space="preserve"> </w:t>
      </w:r>
      <w:r>
        <w:t xml:space="preserve">makes a complementary point at a more general level: sustained participation is anchored not in performance per se but in the meanings adolescents come to attach to the activity. Self-determination theory makes a parallel prediction in motivational language (Ryan &amp; Deci, 2000; Vallerand, 1997, 2007; Sarrazin et al., 2002). Sociological accounts of role exit (Ebaugh, 1988) and qualitative interview studies of dropout (Eliasson &amp; Johansson, 2021; Espedalen &amp; Seippel, 2022) provide convergent evidence: withdrawal</w:t>
      </w:r>
      <w:r>
        <w:t xml:space="preserve"> </w:t>
      </w:r>
      <w:r>
        <w:t xml:space="preserve">“may be fairly long and emotional for young athletes, and less reversible the further into the process they progress”</w:t>
      </w:r>
      <w:r>
        <w:t xml:space="preserve"> </w:t>
      </w:r>
      <w:r>
        <w:t xml:space="preserve">(Eliasson &amp; Johansson, 2021). A complementary observation (Wall &amp; Côté, 2007; Espedalen, 2025) is that organized youth sport contains two distinct sub-populations — committed/investor athletes and casual/sampler athletes — that respond differently when demands escalate around qualification-milestone years.</w:t>
      </w:r>
    </w:p>
    <w:bookmarkEnd w:id="11"/>
    <w:bookmarkStart w:id="12" w:name="the-quantitative-gap"/>
    <w:p>
      <w:pPr>
        <w:pStyle w:val="Heading2"/>
      </w:pPr>
      <w:r>
        <w:t xml:space="preserve">1.2 The quantitative gap</w:t>
      </w:r>
    </w:p>
    <w:p>
      <w:pPr>
        <w:pStyle w:val="FirstParagraph"/>
      </w:pPr>
      <w:r>
        <w:t xml:space="preserve">What this literature has been unable to test directly is the</w:t>
      </w:r>
      <w:r>
        <w:t xml:space="preserve"> </w:t>
      </w:r>
      <w:r>
        <w:rPr>
          <w:i/>
          <w:iCs/>
        </w:rPr>
        <w:t xml:space="preserve">long-run behavioral signature</w:t>
      </w:r>
      <w:r>
        <w:t xml:space="preserve"> </w:t>
      </w:r>
      <w:r>
        <w:t xml:space="preserve">of the deliberative process. Athletes who have already withdrawn are systematically harder to recruit into surveys (Eime et al., 2013), and the hypothesized timescale (1–3 years) exceeds most prospective follow-up windows — Sarrazin and colleagues’ (2002) 21-month study of handballers is unusually long and still does not bridge the adolescent-to-junior transition. A separate quantitative tradition has focused on cross-sectional correlates (relative age effects, Cobley et al., 2009; early specialization, DiFiori et al., 2014; Jayanthi et al., 2015; Côté &amp; Hancock, 2016; Güllich et al., 2022) and on short longitudinal designs measuring proximal psychological constructs such as exhaustion and burnout (Kuokkanen et al., 2026; Worley &amp; Smith, 2026; Zhong et al., 2026). The</w:t>
      </w:r>
      <w:r>
        <w:t xml:space="preserve"> </w:t>
      </w:r>
      <w:r>
        <w:rPr>
          <w:i/>
          <w:iCs/>
        </w:rPr>
        <w:t xml:space="preserve">trajectory</w:t>
      </w:r>
      <w:r>
        <w:t xml:space="preserve"> </w:t>
      </w:r>
      <w:r>
        <w:t xml:space="preserve">of registered competition behavior across the adolescent window — an observable proxy for the engagement balance described in the qualitative literature — has not, to our knowledge, been examined. Peringa et al. (2026) and Baker et al. (2026) further note that current expert and algorithmic approaches to athlete development have been applied to selection rather than retention, leaving behavioral surveillance of engagement as a low-cost candidate for the retention problem.</w:t>
      </w:r>
    </w:p>
    <w:bookmarkEnd w:id="12"/>
    <w:bookmarkStart w:id="13" w:name="the-present-study"/>
    <w:p>
      <w:pPr>
        <w:pStyle w:val="Heading2"/>
      </w:pPr>
      <w:r>
        <w:t xml:space="preserve">1.3 The present study</w:t>
      </w:r>
    </w:p>
    <w:p>
      <w:pPr>
        <w:pStyle w:val="FirstParagraph"/>
      </w:pPr>
      <w:r>
        <w:t xml:space="preserve">We test three predictions in 2,123 Norwegian youth athletes followed up to 14 years through the federation’s public competition register (Figure 1, conceptual model). First, behavioral trajectories of future retainers and future dropouts should</w:t>
      </w:r>
      <w:r>
        <w:t xml:space="preserve"> </w:t>
      </w:r>
      <w:r>
        <w:rPr>
          <w:i/>
          <w:iCs/>
        </w:rPr>
        <w:t xml:space="preserve">diverge before</w:t>
      </w:r>
      <w:r>
        <w:t xml:space="preserve"> </w:t>
      </w:r>
      <w:r>
        <w:t xml:space="preserve">formal exit (the dropout-as-process prediction). Second,</w:t>
      </w:r>
      <w:r>
        <w:t xml:space="preserve"> </w:t>
      </w:r>
      <w:r>
        <w:rPr>
          <w:i/>
          <w:iCs/>
        </w:rPr>
        <w:t xml:space="preserve">behavioral</w:t>
      </w:r>
      <w:r>
        <w:t xml:space="preserve"> </w:t>
      </w:r>
      <w:r>
        <w:t xml:space="preserve">engagement indicators should classify eventual senior retention more strongly than baseline</w:t>
      </w:r>
      <w:r>
        <w:t xml:space="preserve"> </w:t>
      </w:r>
      <w:r>
        <w:rPr>
          <w:i/>
          <w:iCs/>
        </w:rPr>
        <w:t xml:space="preserve">performance</w:t>
      </w:r>
      <w:r>
        <w:t xml:space="preserve"> </w:t>
      </w:r>
      <w:r>
        <w:t xml:space="preserve">(the SCM prediction). Third, the pattern should</w:t>
      </w:r>
      <w:r>
        <w:t xml:space="preserve"> </w:t>
      </w:r>
      <w:r>
        <w:rPr>
          <w:i/>
          <w:iCs/>
        </w:rPr>
        <w:t xml:space="preserve">replicate</w:t>
      </w:r>
      <w:r>
        <w:t xml:space="preserve"> </w:t>
      </w:r>
      <w:r>
        <w:t xml:space="preserve">across cohorts recruited under different sponsor regimes of the same meet (ruling out cohort-specific artefacts). The design treats register-based competition behavior not as a direct measure of motivation but as an observable behavioral marker whose temporal structure can be compared against accounts that have hitherto rested on cross-sectional or short-prospective evidence. Where register patterns and qualitative process accounts converge, the case for those accounts is strengthened via methodological triangulation (Heale &amp; Forbes, 2013).</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six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 while changing sponsor name). Each edition admitted athletes aged 13–14 in the year of the meet, who entered by registering interest through their regional club federation; in practice nearly all active club athletes who applied were included (in some districts all of them), with no qualifying performance threshold. This soft self-selection is a design feature: the baseline cohort consists of adolescents already engaged with organized track and field through a registered club, not children who happened to attend a school race or accompanied a friend to a single local meet. Disengagement trajectories therefore unfold from a baseline of demonstrable engagement.</w:t>
      </w:r>
    </w:p>
    <w:p>
      <w:pPr>
        <w:pStyle w:val="BodyText"/>
      </w:pPr>
      <w:r>
        <w:t xml:space="preserve">We restricted the eligible-birth-year window to athletes who were 13 or 14</w:t>
      </w:r>
      <w:r>
        <w:t xml:space="preserve"> </w:t>
      </w:r>
      <w:r>
        <w:rPr>
          <w:i/>
          <w:iCs/>
        </w:rPr>
        <w:t xml:space="preserve">in the year of their first eligible edition</w:t>
      </w:r>
      <w:r>
        <w:t xml:space="preserve"> </w:t>
      </w:r>
      <w:r>
        <w:t xml:space="preserve">and who had a recorded date of birth in 1998–2002. Athletes born in 1997 would have been 14 in the 2011 edition only (with no 13-year-old participation in the cohort window) and similarly athletes born in 2003 would have been 13 in the 2016 edition only; we excluded these boundary birth cohorts to ensure that all retained athletes had at least one full possible two-edition exposure window. Athletes who participated in both a 13-year-old and a 14-year-old edition were deduplicated to a single record, with the</w:t>
      </w:r>
      <w:r>
        <w:t xml:space="preserve"> </w:t>
      </w:r>
      <w:r>
        <w:rPr>
          <w:i/>
          <w:iCs/>
        </w:rPr>
        <w:t xml:space="preserve">earlier</w:t>
      </w:r>
      <w:r>
        <w:t xml:space="preserve"> </w:t>
      </w:r>
      <w:r>
        <w:t xml:space="preserve">edition used as the baseline meet. A flow diagram of cohort construction is provided in Supplementary Figure S0.</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three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is</w:t>
      </w:r>
      <w:r>
        <w:t xml:space="preserve"> </w:t>
      </w:r>
      <w:r>
        <w:rPr>
          <w:b/>
          <w:bCs/>
        </w:rPr>
        <w:t xml:space="preserve">active senior status</w:t>
      </w:r>
      <w:r>
        <w:t xml:space="preserve">, a</w:t>
      </w:r>
      <w:r>
        <w:t xml:space="preserve"> </w:t>
      </w:r>
      <w:r>
        <w:rPr>
          <w:i/>
          <w:iCs/>
        </w:rPr>
        <w:t xml:space="preserve">binary</w:t>
      </w:r>
      <w:r>
        <w:t xml:space="preserve"> </w:t>
      </w:r>
      <w:r>
        <w:t xml:space="preserve">indicator coded 1 if the athlete had at least two registered competition results in any single calendar year at age 20 or later, and 0 otherwise. The two-results threshold was chosen to exclude athletes who returned to the register only sporadically (e.g., for a single charity race) while remaining inclusive of those competing in distinct events within a single meet. Age 20 marks the formal transition to senior competition in Norwegian track and field. To assess sensitivity to operational choices, we re-estimated the central effect using two alternative outcome definitions: (A) ≥1 senior-age result and (C) ≥2 results in each of two distinct senior-age calendar years (Supplementary Table S9).</w:t>
      </w:r>
    </w:p>
    <w:p>
      <w:pPr>
        <w:pStyle w:val="BodyText"/>
      </w:pPr>
      <w:r>
        <w:t xml:space="preserve">A</w:t>
      </w:r>
      <w:r>
        <w:t xml:space="preserve"> </w:t>
      </w:r>
      <w:r>
        <w:rPr>
          <w:i/>
          <w:iCs/>
        </w:rPr>
        <w:t xml:space="preserve">secondary</w:t>
      </w:r>
      <w:r>
        <w:t xml:space="preserve"> </w:t>
      </w:r>
      <w:r>
        <w:t xml:space="preserve">time-to-event outcome was used for survival visualization and supplementary Cox modelling:</w:t>
      </w:r>
      <w:r>
        <w:t xml:space="preserve"> </w:t>
      </w:r>
      <w:r>
        <w:rPr>
          <w:b/>
          <w:bCs/>
        </w:rPr>
        <w:t xml:space="preserve">time to last active season</w:t>
      </w:r>
      <w:r>
        <w:t xml:space="preserve">, where an active season is a calendar year with ≥2 registered results, with athletes still active in 2024 or later treated as right-censored. We distinguish these two outcomes throughout: the binary senior-status outcome is estimated with logistic regression as the primary inferential model (Section 2.5.1); the time-to-cessation outcome supports Kaplan–Meier visualization and Cox-based sensitivity analyses (Section 2.5.4).</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year_round_age_X</w:t>
      </w:r>
      <w:r>
        <w:t xml:space="preserve"> </w:t>
      </w:r>
      <w:r>
        <w:t xml:space="preserve">= 1 if the athlete competed in both an outdoor and an indoor meet in that age year, else 0). We derived composite indicators:</w:t>
      </w:r>
      <w:r>
        <w:t xml:space="preserve"> </w:t>
      </w:r>
      <w:r>
        <w:rPr>
          <w:b/>
          <w:bCs/>
        </w:rPr>
        <w:t xml:space="preserve">vol_pre_milestone</w:t>
      </w:r>
      <w:r>
        <w:t xml:space="preserve"> </w:t>
      </w:r>
      <w:r>
        <w:t xml:space="preserve">(sum of meets at ages 13–14, the pre-qualification window),</w:t>
      </w:r>
      <w:r>
        <w:t xml:space="preserve"> </w:t>
      </w:r>
      <w:r>
        <w:rPr>
          <w:b/>
          <w:bCs/>
        </w:rPr>
        <w:t xml:space="preserve">vol_milestone</w:t>
      </w:r>
      <w:r>
        <w:t xml:space="preserve"> </w:t>
      </w:r>
      <w:r>
        <w:t xml:space="preserve">(sum of meets at ages 15–16, the qualification-milestone window), and</w:t>
      </w:r>
      <w:r>
        <w:t xml:space="preserve"> </w:t>
      </w:r>
      <w:r>
        <w:rPr>
          <w:b/>
          <w:bCs/>
        </w:rPr>
        <w:t xml:space="preserve">vol_trend_milestone</w:t>
      </w:r>
      <w:r>
        <w:t xml:space="preserve"> </w:t>
      </w:r>
      <w:r>
        <w:t xml:space="preserve">(vol_milestone − vol_pre_milestone). We also computed</w:t>
      </w:r>
      <w:r>
        <w:t xml:space="preserve"> </w:t>
      </w:r>
      <w:r>
        <w:rPr>
          <w:b/>
          <w:bCs/>
        </w:rPr>
        <w:t xml:space="preserve">n_champ_types</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p>
      <w:pPr>
        <w:pStyle w:val="BodyText"/>
      </w:pPr>
      <w:r>
        <w:t xml:space="preserve">We treat these variables as</w:t>
      </w:r>
      <w:r>
        <w:t xml:space="preserve"> </w:t>
      </w:r>
      <w:r>
        <w:rPr>
          <w:i/>
          <w:iCs/>
        </w:rPr>
        <w:t xml:space="preserve">observable behavioral markers</w:t>
      </w:r>
      <w:r>
        <w:t xml:space="preserve"> </w:t>
      </w:r>
      <w:r>
        <w:t xml:space="preserve">of engagement, not as direct measures of motivation or commitment. Their interpretation as evidence for an underlying engagement-balance mechanism depends on whether their temporal structure is consistent with the predictions of the theoretical accounts described in the Introduction.</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primary inferential model is a logistic regression for binary</w:t>
      </w:r>
      <w:r>
        <w:t xml:space="preserve"> </w:t>
      </w:r>
      <w:r>
        <w:rPr>
          <w:i/>
          <w:iCs/>
        </w:rPr>
        <w:t xml:space="preserve">active senior status</w:t>
      </w:r>
      <w:r>
        <w:t xml:space="preserve">, using only</w:t>
      </w:r>
      <w:r>
        <w:t xml:space="preserve"> </w:t>
      </w:r>
      <w:r>
        <w:rPr>
          <w:b/>
          <w:bCs/>
        </w:rPr>
        <w:t xml:space="preserve">baseline-window predictors</w:t>
      </w:r>
      <w:r>
        <w:t xml:space="preserve"> </w:t>
      </w:r>
      <w:r>
        <w:t xml:space="preserve">measured during ages 13–14 (before the qualification-milestone window): sex, baseline Tyrving performance, Herfindahl–Hirschman event-category concentration (HHI early), and the count of distinct competition meets at ages 13 and 14 combined (</w:t>
      </w:r>
      <w:r>
        <w:rPr>
          <w:i/>
          <w:iCs/>
        </w:rPr>
        <w:t xml:space="preserve">pre-milestone volume</w:t>
      </w:r>
      <w:r>
        <w:t xml:space="preserve">). Models were fitted in a nested stepwise sequence (L1: sex only; L2: + Tyrving; L3: + HHI; L4: + pre-milestone volume) to characterize the unique discriminative contribution of each variable class. Continuous covariates were z-standardized so that odds ratios reflect per-SD effects. Discriminative accuracy was assessed by 5-fold stratified cross-validated AUC.</w:t>
      </w:r>
    </w:p>
    <w:p>
      <w:pPr>
        <w:pStyle w:val="BodyText"/>
      </w:pPr>
      <w:r>
        <w:t xml:space="preserve">Restricting primary predictors to the baseline window avoids measurement overlap with the outcome process: an athlete who drops out before age 15 has milestone-window volume = 0 by construction</w:t>
      </w:r>
      <w:r>
        <w:t xml:space="preserve"> </w:t>
      </w:r>
      <w:r>
        <w:rPr>
          <w:i/>
          <w:iCs/>
        </w:rPr>
        <w:t xml:space="preserve">and</w:t>
      </w:r>
      <w:r>
        <w:t xml:space="preserve"> </w:t>
      </w:r>
      <w:r>
        <w:t xml:space="preserve">will not retain senior activity, which would inflate apparent discrimination through measurement overlap rather than prospective prediction. Using only ages-13–14 data, the primary estimate is unambiguously prospective.</w:t>
      </w:r>
    </w:p>
    <w:bookmarkEnd w:id="24"/>
    <w:bookmarkStart w:id="25" w:name="structural-controls"/>
    <w:p>
      <w:pPr>
        <w:pStyle w:val="Heading3"/>
      </w:pPr>
      <w:r>
        <w:t xml:space="preserve">2.5.2 Structural controls</w:t>
      </w:r>
    </w:p>
    <w:p>
      <w:pPr>
        <w:pStyle w:val="FirstParagraph"/>
      </w:pPr>
      <w:r>
        <w:t xml:space="preserve">We assessed sensitivity of the primary model to plausible structural confounders by re-fitting the full L4 model with three additional covariates: region (3-level: Vestlandet [reference], Østlandet, Midt-Norge); birth quarter (Q1- and Q4-indicator variables for relative-age effects); and standardized club size at baseline (number of athletes registered to the same club in the baseline year). Coefficient stability of the pre-milestone volume effect was compared with and without controls (Supplementary Table S13).</w:t>
      </w:r>
    </w:p>
    <w:bookmarkEnd w:id="25"/>
    <w:bookmarkStart w:id="26" w:name="X47432f40904c32733c1a1e65d055e0f2cc5f39b"/>
    <w:p>
      <w:pPr>
        <w:pStyle w:val="Heading3"/>
      </w:pPr>
      <w:r>
        <w:t xml:space="preserve">2.5.3 Within-athlete pull-back vs baseline heterogeneity</w:t>
      </w:r>
    </w:p>
    <w:p>
      <w:pPr>
        <w:pStyle w:val="FirstParagraph"/>
      </w:pPr>
      <w:r>
        <w:t xml:space="preserve">Future retainers and future dropouts already differ in competition volume at ages 13–14 (Figure 2, Table 2). To distinguish between (i) early behavioral heterogeneity and (ii) within-athlete pull-back across the age-14-to-15 transition, we fitted a logistic regression in athletes still active at age 14 (≥1 result at age 14, n = 1,914) including both the</w:t>
      </w:r>
      <w:r>
        <w:t xml:space="preserve"> </w:t>
      </w:r>
      <w:r>
        <w:rPr>
          <w:i/>
          <w:iCs/>
        </w:rPr>
        <w:t xml:space="preserve">level</w:t>
      </w:r>
      <w:r>
        <w:t xml:space="preserve"> </w:t>
      </w:r>
      <w:r>
        <w:t xml:space="preserve">of volume at age 14 and the</w:t>
      </w:r>
      <w:r>
        <w:t xml:space="preserve"> </w:t>
      </w:r>
      <w:r>
        <w:rPr>
          <w:i/>
          <w:iCs/>
        </w:rPr>
        <w:t xml:space="preserve">change</w:t>
      </w:r>
      <w:r>
        <w:t xml:space="preserve"> </w:t>
      </w:r>
      <w:r>
        <w:t xml:space="preserve">in volume from age 14 to age 15. If decline conditional on baseline level predicts retention, both coefficients should be significant; if separation is purely typological, only baseline level should matter (Supplementary Table S14).</w:t>
      </w:r>
    </w:p>
    <w:bookmarkEnd w:id="26"/>
    <w:bookmarkStart w:id="27" w:name="X7439450477d30e4eede84f2423a577a00bb0c32"/>
    <w:p>
      <w:pPr>
        <w:pStyle w:val="Heading3"/>
      </w:pPr>
      <w:r>
        <w:t xml:space="preserve">2.5.4 Time-to-cessation survival analysis (secondary)</w:t>
      </w:r>
    </w:p>
    <w:p>
      <w:pPr>
        <w:pStyle w:val="FirstParagraph"/>
      </w:pPr>
      <w:r>
        <w:t xml:space="preserve">As a secondary effect-size representation we modeled</w:t>
      </w:r>
      <w:r>
        <w:t xml:space="preserve"> </w:t>
      </w:r>
      <w:r>
        <w:rPr>
          <w:i/>
          <w:iCs/>
        </w:rPr>
        <w:t xml:space="preserve">time from baseline to last active season</w:t>
      </w:r>
      <w:r>
        <w:t xml:space="preserve"> </w:t>
      </w:r>
      <w:r>
        <w:t xml:space="preserve">using Cox (1972) proportional hazards regression, with tied event times handled by Efron’s (1977) method (Davidson-Pilon, 2024). The primary Cox specification (Supplementary Table S16) uses the same baseline-only predictor set as the primary logistic regression. A</w:t>
      </w:r>
      <w:r>
        <w:t xml:space="preserve"> </w:t>
      </w:r>
      <w:r>
        <w:rPr>
          <w:i/>
          <w:iCs/>
        </w:rPr>
        <w:t xml:space="preserve">landmark analysis</w:t>
      </w:r>
      <w:r>
        <w:t xml:space="preserve"> </w:t>
      </w:r>
      <w:r>
        <w:t xml:space="preserve">(van Houwelingen, 2007) restricted to athletes with ≥1 result at age 16 (n = 1,167) and a</w:t>
      </w:r>
      <w:r>
        <w:t xml:space="preserve"> </w:t>
      </w:r>
      <w:r>
        <w:rPr>
          <w:i/>
          <w:iCs/>
        </w:rPr>
        <w:t xml:space="preserve">post-baseline Cox specification</w:t>
      </w:r>
      <w:r>
        <w:t xml:space="preserve"> </w:t>
      </w:r>
      <w:r>
        <w:t xml:space="preserve">with ages-15–16 covariates are reported in Supplementary Tables S8 and as period-specific decomposition in Table 5; the latter is interpreted with explicit caveats given operational overlap with the at-risk window.</w:t>
      </w:r>
    </w:p>
    <w:p>
      <w:pPr>
        <w:pStyle w:val="BodyText"/>
      </w:pPr>
      <w:r>
        <w:t xml:space="preserve">We assessed proportional hazards using Schoenfeld residuals (Grambsch &amp; Therneau, 1994) and re-estimated the model stratified on violating variables (Therneau &amp; Grambsch, 2000). For the dominant covariate we also computed the</w:t>
      </w:r>
      <w:r>
        <w:t xml:space="preserve"> </w:t>
      </w:r>
      <w:r>
        <w:rPr>
          <w:b/>
          <w:bCs/>
        </w:rPr>
        <w:t xml:space="preserve">E-value</w:t>
      </w:r>
      <w:r>
        <w:t xml:space="preserve"> </w:t>
      </w:r>
      <w:r>
        <w:t xml:space="preserve">(VanderWeele &amp; Ding, 2017), period-specific estimates across three follow-up windows, cluster-robust standard errors clustered on club name (Lin &amp; Wei, 1989), and sex-stratified subgroup Cox models. Hazard ratios are reported as descriptive associations within the observed register structure and should not be interpreted causally. Kaplan–Meier curves were stratified by sex, by competition volume at age 15–16, and by number of pre-17 championship types.</w:t>
      </w:r>
    </w:p>
    <w:bookmarkEnd w:id="27"/>
    <w:bookmarkStart w:id="28" w:name="sample-size-and-detection-capacity"/>
    <w:p>
      <w:pPr>
        <w:pStyle w:val="Heading3"/>
      </w:pPr>
      <w:r>
        <w:t xml:space="preserve">2.5.5 Sample size and detection capacity</w:t>
      </w:r>
    </w:p>
    <w:p>
      <w:pPr>
        <w:pStyle w:val="FirstParagraph"/>
      </w:pPr>
      <w:r>
        <w:t xml:space="preserve">Classical a-priori power calculations are less directly applicable to population-based register studies where the full cohort is observed and there is no sampling step at which the analyst chooses an</w:t>
      </w:r>
      <w:r>
        <w:t xml:space="preserve"> </w:t>
      </w:r>
      <w:r>
        <w:rPr>
          <w:i/>
          <w:iCs/>
        </w:rPr>
        <w:t xml:space="preserve">N</w:t>
      </w:r>
      <w:r>
        <w:t xml:space="preserve">. We therefore replace power with a</w:t>
      </w:r>
      <w:r>
        <w:t xml:space="preserve"> </w:t>
      </w:r>
      <w:r>
        <w:rPr>
          <w:i/>
          <w:iCs/>
        </w:rPr>
        <w:t xml:space="preserve">detection-capacity</w:t>
      </w:r>
      <w:r>
        <w:t xml:space="preserve"> </w:t>
      </w:r>
      <w:r>
        <w:t xml:space="preserve">analysis: given the observed event count, what is the smallest effect size the design could reliably detect, and how does it compare to effect sizes in prior longitudinal dropout research?</w:t>
      </w:r>
    </w:p>
    <w:p>
      <w:pPr>
        <w:pStyle w:val="BodyText"/>
      </w:pPr>
      <w:r>
        <w:t xml:space="preserve">Using Hsieh and Lavori’s (2000) formula,</w:t>
      </w:r>
      <w:r>
        <w:t xml:space="preserve"> </w:t>
      </w:r>
      <m:oMath>
        <m:r>
          <m:t>d</m:t>
        </m:r>
        <m:r>
          <m:rPr>
            <m:sty m:val="p"/>
          </m:rPr>
          <m:t>=</m:t>
        </m:r>
        <m:r>
          <m:t>1</m:t>
        </m:r>
        <m:r>
          <m:rPr>
            <m:sty m:val="p"/>
          </m:rPr>
          <m:t>,</m:t>
        </m:r>
        <m:r>
          <m:t>570</m:t>
        </m:r>
      </m:oMath>
      <w:r>
        <w:t xml:space="preserve"> </w:t>
      </w:r>
      <w:r>
        <w:t xml:space="preserve">Cox events at</w:t>
      </w:r>
      <w:r>
        <w:t xml:space="preserve"> </w:t>
      </w:r>
      <m:oMath>
        <m:r>
          <m:t>α</m:t>
        </m:r>
        <m:r>
          <m:rPr>
            <m:sty m:val="p"/>
          </m:rPr>
          <m:t>=</m:t>
        </m:r>
        <m:r>
          <m:t>.05</m:t>
        </m:r>
      </m:oMath>
      <w:r>
        <w:t xml:space="preserve"> </w:t>
      </w:r>
      <w:r>
        <w:t xml:space="preserve">and 80% power yields</w:t>
      </w:r>
      <w:r>
        <w:t xml:space="preserve"> </w:t>
      </w:r>
      <m:oMath>
        <m:r>
          <m:t>H</m:t>
        </m:r>
        <m:sSub>
          <m:e>
            <m:r>
              <m:t>R</m:t>
            </m:r>
          </m:e>
          <m:sub>
            <m:r>
              <m:rPr>
                <m:sty m:val="p"/>
              </m:rPr>
              <m:t>min</m:t>
            </m:r>
          </m:sub>
        </m:sSub>
        <m:r>
          <m:rPr>
            <m:sty m:val="p"/>
          </m:rPr>
          <m:t>≈</m:t>
        </m:r>
        <m:r>
          <m:t>1.07</m:t>
        </m:r>
      </m:oMath>
      <w:r>
        <w:t xml:space="preserve"> </w:t>
      </w:r>
      <w:r>
        <w:t xml:space="preserve">per SD for a standardized covariate (for a balanced binary covariate, closer to 1.15). Prior prospective youth-sport dropout research reports small-to-moderate effects (Cohen’s</w:t>
      </w:r>
      <w:r>
        <w:t xml:space="preserve"> </w:t>
      </w:r>
      <w:r>
        <w:rPr>
          <w:i/>
          <w:iCs/>
        </w:rPr>
        <w:t xml:space="preserve">d</w:t>
      </w:r>
      <w:r>
        <w:t xml:space="preserve"> </w:t>
      </w:r>
      <w:r>
        <w:t xml:space="preserve">≈ 0.2–0.5; ORs ≈ 1.4–2.5; Sarrazin et al., 2002; Calvo et al., 2010; Espedalen &amp; Seippel, 2022). Our detection capacity is therefore well below typical effect magnitudes; null findings for standardized covariates should be interpreted as substantively small rather than underpowered.</w:t>
      </w:r>
    </w:p>
    <w:bookmarkEnd w:id="28"/>
    <w:bookmarkStart w:id="29" w:name="missing-data-and-clustering"/>
    <w:p>
      <w:pPr>
        <w:pStyle w:val="Heading3"/>
      </w:pPr>
      <w:r>
        <w:t xml:space="preserve">2.5.6 Missing data and clustering</w:t>
      </w:r>
    </w:p>
    <w:p>
      <w:pPr>
        <w:pStyle w:val="FirstParagraph"/>
      </w:pPr>
      <w:r>
        <w:t xml:space="preserve">Missing values arose primarily for the Tyrving score (~20% missing) and for HHI (~10% missing for athletes with fewer than 3 active seasons). Primary analyses used complete-case regression (n = 1,704). Mean-imputation produced near-identical estimates (Supplementary Table S5). Cluster-robust standard errors at the club level left coefficients unchanged with marginally wider CIs (Supplementary Table S2).</w:t>
      </w:r>
    </w:p>
    <w:bookmarkEnd w:id="29"/>
    <w:bookmarkStart w:id="30" w:name="X7f9730a47d444f5fd4a4d50f545cee72d9b6503"/>
    <w:p>
      <w:pPr>
        <w:pStyle w:val="Heading3"/>
      </w:pPr>
      <w:r>
        <w:t xml:space="preserve">2.5.7 Calibration and prospective early-warning thresholds</w:t>
      </w:r>
    </w:p>
    <w:p>
      <w:pPr>
        <w:pStyle w:val="FirstParagraph"/>
      </w:pPr>
      <w:r>
        <w:t xml:space="preserve">We computed sensitivity, specificity, PPV, and NPV at five candidate thresholds for</w:t>
      </w:r>
      <w:r>
        <w:t xml:space="preserve"> </w:t>
      </w:r>
      <w:r>
        <w:t xml:space="preserve">“flagging”</w:t>
      </w:r>
      <w:r>
        <w:t xml:space="preserve"> </w:t>
      </w:r>
      <w:r>
        <w:t xml:space="preserve">an athlete on</w:t>
      </w:r>
      <w:r>
        <w:t xml:space="preserve"> </w:t>
      </w:r>
      <w:r>
        <w:rPr>
          <w:i/>
          <w:iCs/>
        </w:rPr>
        <w:t xml:space="preserve">pre-milestone</w:t>
      </w:r>
      <w:r>
        <w:t xml:space="preserve"> </w:t>
      </w:r>
      <w:r>
        <w:t xml:space="preserve">(ages 13–14) competition volume, applied at the end of an athlete’s age-14 season — implementable before any age-15–16 outcome data exist (Table 6).</w:t>
      </w:r>
    </w:p>
    <w:bookmarkEnd w:id="30"/>
    <w:bookmarkStart w:id="31" w:name="Xfe62d9d2383530a3b94558a15e9d67c0d33fdbd"/>
    <w:p>
      <w:pPr>
        <w:pStyle w:val="Heading3"/>
      </w:pPr>
      <w:r>
        <w:t xml:space="preserve">2.5.8 Cross-cohort replication and variable importance</w:t>
      </w:r>
    </w:p>
    <w:p>
      <w:pPr>
        <w:pStyle w:val="FirstParagraph"/>
      </w:pPr>
      <w:r>
        <w:t xml:space="preserve">The primary L4 logistic regression and the secondary Cox specifications were re-estimated separately within each birth cohort. As convergent evidence, we fit a random forest (Breiman, 2001) with 500 trees and maximum depth 8 to predict active senior status; variable importance is reported as the mean decrease in Gini impurity.</w:t>
      </w:r>
    </w:p>
    <w:bookmarkEnd w:id="31"/>
    <w:bookmarkStart w:id="32" w:name="software"/>
    <w:p>
      <w:pPr>
        <w:pStyle w:val="Heading3"/>
      </w:pPr>
      <w:r>
        <w:t xml:space="preserve">2.5.9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2"/>
    <w:bookmarkEnd w:id="33"/>
    <w:bookmarkStart w:id="34" w:name="sex-and-gender"/>
    <w:p>
      <w:pPr>
        <w:pStyle w:val="Heading2"/>
      </w:pPr>
      <w:r>
        <w:t xml:space="preserve">2.6 Sex and gender</w:t>
      </w:r>
    </w:p>
    <w:p>
      <w:pPr>
        <w:pStyle w:val="FirstParagraph"/>
      </w:pPr>
      <w:r>
        <w:t xml:space="preserve">Following SAGER guidance (Heidari et al., 2016), all primary analyses include sex as a covariate, and we additionally report sex-stratified subgroup analyses in supplementary material (Supplementary Table S7) so that potential sex-specific patterns are visible.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4"/>
    <w:bookmarkStart w:id="35"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p>
      <w:pPr>
        <w:pStyle w:val="BodyText"/>
      </w:pPr>
      <w:r>
        <w:t xml:space="preserve">[</w:t>
      </w:r>
      <w:r>
        <w:rPr>
          <w:b/>
          <w:bCs/>
        </w:rPr>
        <w:t xml:space="preserve">Table 1 about here</w:t>
      </w:r>
      <w:r>
        <w:t xml:space="preserve">]</w:t>
      </w:r>
    </w:p>
    <w:bookmarkEnd w:id="37"/>
    <w:bookmarkStart w:id="38"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that motivates this test.) Median competitions per year are plotted by age (13–18) separately for athletes who eventually retained senior activity (n = 348) and those who did not (n = 1,775). The two groups already differ at baseline: at age 13, future retainers competed in a median of 13 meets versus 8 for future dropouts; at age 14 this widens to 17 versus 8. From age 15 onwards the trajectories diverge further. Retainers peak at 19 meets at age 15 and sustain near that level through age 17. Future dropouts decline from 8 meets at age 14 to a median of 3 at age 15, 0 at age 16, and 0 thereafter. Two complementary patterns are therefore visible in the same data: (i) substantial baseline differences between the eventual retainer and dropout groups by ages 13–14, and (ii) a progressive within-athlete pull-back among future dropouts that becomes most visible across the age-14-to-15 transition. We test these two patterns separately below.</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bookmarkEnd w:id="38"/>
    <w:bookmarkStart w:id="39" w:name="survival-visualization"/>
    <w:p>
      <w:pPr>
        <w:pStyle w:val="Heading2"/>
      </w:pPr>
      <w:r>
        <w:t xml:space="preserve">3.3 Survival visualization</w:t>
      </w:r>
    </w:p>
    <w:p>
      <w:pPr>
        <w:pStyle w:val="FirstParagraph"/>
      </w:pPr>
      <w:r>
        <w:t xml:space="preserve">Overall Kaplan–Meier retention (Supplementary Figure S3A) shows that half of the cohort had ceased active competition within 3 years of baseline; 75% had ceased within 5 years. The age-17 floor (the transition from youth to junior competition) marks the steepest acceleration in dropout. Sex-stratified retention curves (Supplementary Figure S3B) overlap throughout the follow-up window: a log-rank test detected no overall sex difference (χ² = 0.95, p = 0.33). When the cohort is stratified by competition volume across ages 15–16 (Figure 3), retention curves separate clearly and monotonically: athletes who competed in 31 or more meets across ages 15–16 retained 71% senior activity, while athletes who competed in none retained only 4%. (Note: this stratification is descriptive only; the formal effect estimates use baseline-only predictors, below.) Stratifying by number of championship types entered before age 17 (Supplementary Figure S4) reveals the same pattern.</w:t>
      </w:r>
    </w:p>
    <w:p>
      <w:pPr>
        <w:pStyle w:val="BodyText"/>
      </w:pPr>
      <w:r>
        <w:t xml:space="preserve">[</w:t>
      </w:r>
      <w:r>
        <w:rPr>
          <w:b/>
          <w:bCs/>
        </w:rPr>
        <w:t xml:space="preserve">Figure 3 about here</w:t>
      </w:r>
      <w:r>
        <w:t xml:space="preserve">]</w:t>
      </w:r>
    </w:p>
    <w:bookmarkEnd w:id="39"/>
    <w:bookmarkStart w:id="40" w:name="X212fbb144b357bbb65ca9c20fb99d6d52021b1e"/>
    <w:p>
      <w:pPr>
        <w:pStyle w:val="Heading2"/>
      </w:pPr>
      <w:r>
        <w:t xml:space="preserve">3.4 Primary analysis: prospective logistic regression for senior retention</w:t>
      </w:r>
    </w:p>
    <w:p>
      <w:pPr>
        <w:pStyle w:val="FirstParagraph"/>
      </w:pPr>
      <w:r>
        <w:t xml:space="preserve">To avoid look-ahead between predictors and outcome, the primary analysis is a logistic regression for the binary outcome</w:t>
      </w:r>
      <w:r>
        <w:t xml:space="preserve"> </w:t>
      </w:r>
      <w:r>
        <w:rPr>
          <w:i/>
          <w:iCs/>
        </w:rPr>
        <w:t xml:space="preserve">active senior status</w:t>
      </w:r>
      <w:r>
        <w:t xml:space="preserve"> </w:t>
      </w:r>
      <w:r>
        <w:t xml:space="preserve">(≥2 registered competitions in any calendar year at age ≥20) using only baseline-window predictors (ages 13–14, measured before the qualification-milestone window). Models were fitted in a nested stepwise sequence (Table 3) and evaluated with 5-fold cross-validated AUC.</w:t>
      </w:r>
    </w:p>
    <w:p>
      <w:pPr>
        <w:pStyle w:val="BodyText"/>
      </w:pPr>
      <w:r>
        <w:t xml:space="preserve">Sex alone produced a near-chance discrimination (CV-AUC = 0.541). Adding baseline Tyrving performance increased AUC modestly to 0.607; adding early specialization (HHI) added nothing further (AUC = 0.600). Adding pre-milestone competition volume (sum of meets at ages 13–14) raised AUC substantially to</w:t>
      </w:r>
      <w:r>
        <w:t xml:space="preserve"> </w:t>
      </w:r>
      <w:r>
        <w:rPr>
          <w:b/>
          <w:bCs/>
        </w:rPr>
        <w:t xml:space="preserve">0.751</w:t>
      </w:r>
      <w:r>
        <w:t xml:space="preserve">, with an odds ratio of 2.40 per SD (95% CI [2.07, 2.78],</w:t>
      </w:r>
      <w:r>
        <w:t xml:space="preserve"> </w:t>
      </w:r>
      <w:r>
        <w:rPr>
          <w:i/>
          <w:iCs/>
        </w:rPr>
        <w:t xml:space="preserve">p</w:t>
      </w:r>
      <w:r>
        <w:t xml:space="preserve"> </w:t>
      </w:r>
      <w:r>
        <w:t xml:space="preserve">&lt; .001). Higher baseline competition volume was therefore associated with 2.4-times higher odds of senior retention per one-SD increase. Specialization (HHI) became significantly associated with retention once volume was entered (OR = 1.35 per SD;</w:t>
      </w:r>
      <w:r>
        <w:t xml:space="preserve"> </w:t>
      </w:r>
      <w:r>
        <w:rPr>
          <w:i/>
          <w:iCs/>
        </w:rPr>
        <w:t xml:space="preserve">p</w:t>
      </w:r>
      <w:r>
        <w:t xml:space="preserve"> </w:t>
      </w:r>
      <w:r>
        <w:t xml:space="preserve">&lt; .001) —</w:t>
      </w:r>
      <w:r>
        <w:t xml:space="preserve"> </w:t>
      </w:r>
      <w:r>
        <w:rPr>
          <w:i/>
          <w:iCs/>
        </w:rPr>
        <w:t xml:space="preserve">higher</w:t>
      </w:r>
      <w:r>
        <w:t xml:space="preserve"> </w:t>
      </w:r>
      <w:r>
        <w:t xml:space="preserve">baseline HHI (more concentration in fewer event categories) predicted</w:t>
      </w:r>
      <w:r>
        <w:t xml:space="preserve"> </w:t>
      </w:r>
      <w:r>
        <w:rPr>
          <w:i/>
          <w:iCs/>
        </w:rPr>
        <w:t xml:space="preserve">higher</w:t>
      </w:r>
      <w:r>
        <w:t xml:space="preserve"> </w:t>
      </w:r>
      <w:r>
        <w:t xml:space="preserve">retention, a finding we return to in §3.10 and the Discussion.</w:t>
      </w:r>
    </w:p>
    <w:p>
      <w:pPr>
        <w:pStyle w:val="BodyText"/>
      </w:pPr>
      <w:r>
        <w:t xml:space="preserve">[</w:t>
      </w:r>
      <w:r>
        <w:rPr>
          <w:b/>
          <w:bCs/>
        </w:rPr>
        <w:t xml:space="preserve">Table 3 about here</w:t>
      </w:r>
      <w:r>
        <w:t xml:space="preserve">]</w:t>
      </w:r>
    </w:p>
    <w:bookmarkEnd w:id="40"/>
    <w:bookmarkStart w:id="41" w:name="X23b1f15ebb3a7f8f56f8cd097e9c0f697eb6923"/>
    <w:p>
      <w:pPr>
        <w:pStyle w:val="Heading2"/>
      </w:pPr>
      <w:r>
        <w:t xml:space="preserve">3.5 Structural controls do not change the picture</w:t>
      </w:r>
    </w:p>
    <w:p>
      <w:pPr>
        <w:pStyle w:val="FirstParagraph"/>
      </w:pPr>
      <w:r>
        <w:t xml:space="preserve">Reviewers of register-based research reasonably ask whether structural factors — region, relative age effects, club size — might confound apparent behavioral effects. Adding region (3-level), birth-quarter (Q1- and Q4-born indicators for relative-age effects), and standardized club-size to the full Table 3 model produced no material change in the volume coefficient (OR = 2.40 with controls vs. 2.40 without; +0.4%) and none of the structural covariates was significantly associated with retention (all p &gt; .14; Supplementary Table S13). The substantive findings are therefore robust to plausible structural confounders.</w:t>
      </w:r>
    </w:p>
    <w:bookmarkEnd w:id="41"/>
    <w:bookmarkStart w:id="42" w:name="X0bf9bcda651dcf6366690eb6a3e0036823f7e4f"/>
    <w:p>
      <w:pPr>
        <w:pStyle w:val="Heading2"/>
      </w:pPr>
      <w:r>
        <w:t xml:space="preserve">3.6 Progressive pull-back versus baseline heterogeneity</w:t>
      </w:r>
    </w:p>
    <w:p>
      <w:pPr>
        <w:pStyle w:val="FirstParagraph"/>
      </w:pPr>
      <w:r>
        <w:t xml:space="preserve">The trajectories in Figure 2 are consistent with two interpretations: (i) future retainers and future dropouts represent distinct</w:t>
      </w:r>
      <w:r>
        <w:t xml:space="preserve"> </w:t>
      </w:r>
      <w:r>
        <w:rPr>
          <w:i/>
          <w:iCs/>
        </w:rPr>
        <w:t xml:space="preserve">behavioral typologies</w:t>
      </w:r>
      <w:r>
        <w:t xml:space="preserve"> </w:t>
      </w:r>
      <w:r>
        <w:t xml:space="preserve">visible already at ages 13–14, or (ii) future dropouts undergo a</w:t>
      </w:r>
      <w:r>
        <w:t xml:space="preserve"> </w:t>
      </w:r>
      <w:r>
        <w:rPr>
          <w:i/>
          <w:iCs/>
        </w:rPr>
        <w:t xml:space="preserve">within-athlete pull-back</w:t>
      </w:r>
      <w:r>
        <w:t xml:space="preserve"> </w:t>
      </w:r>
      <w:r>
        <w:t xml:space="preserve">between ages 14 and 15 that distinguishes them from athletes whose level is preserved. We tested these two interpretations directly by entering both the baseline level (volume at age 14) and the within-athlete change (volume at age 15 minus volume at age 14) into a logistic regression, restricted to athletes still active at age 14 (n = 1,914) to avoid pre-baseline dropout (Table 4).</w:t>
      </w:r>
    </w:p>
    <w:p>
      <w:pPr>
        <w:pStyle w:val="BodyText"/>
      </w:pPr>
      <w:r>
        <w:t xml:space="preserve">Both predictors contributed substantially and independently. The age-14 volume level was strongly associated with retention (OR = 2.79 per SD, 95% CI [2.37, 3.28],</w:t>
      </w:r>
      <w:r>
        <w:t xml:space="preserve"> </w:t>
      </w:r>
      <w:r>
        <w:rPr>
          <w:i/>
          <w:iCs/>
        </w:rPr>
        <w:t xml:space="preserve">p</w:t>
      </w:r>
      <w:r>
        <w:t xml:space="preserve"> </w:t>
      </w:r>
      <w:r>
        <w:t xml:space="preserve">&lt; .001). The within-athlete change from age 14 to age 15 was</w:t>
      </w:r>
      <w:r>
        <w:t xml:space="preserve"> </w:t>
      </w:r>
      <w:r>
        <w:rPr>
          <w:i/>
          <w:iCs/>
        </w:rPr>
        <w:t xml:space="preserve">almost as strongly</w:t>
      </w:r>
      <w:r>
        <w:t xml:space="preserve"> </w:t>
      </w:r>
      <w:r>
        <w:t xml:space="preserve">associated (OR = 2.44 per SD, 95% CI [2.10, 2.83],</w:t>
      </w:r>
      <w:r>
        <w:t xml:space="preserve"> </w:t>
      </w:r>
      <w:r>
        <w:rPr>
          <w:i/>
          <w:iCs/>
        </w:rPr>
        <w:t xml:space="preserve">p</w:t>
      </w:r>
      <w:r>
        <w:t xml:space="preserve"> </w:t>
      </w:r>
      <w:r>
        <w:t xml:space="preserve">&lt; .001) — that is, a one-SD greater decline between ages 14 and 15 was associated with 2.4-times</w:t>
      </w:r>
      <w:r>
        <w:t xml:space="preserve"> </w:t>
      </w:r>
      <w:r>
        <w:rPr>
          <w:i/>
          <w:iCs/>
        </w:rPr>
        <w:t xml:space="preserve">lower</w:t>
      </w:r>
      <w:r>
        <w:t xml:space="preserve"> </w:t>
      </w:r>
      <w:r>
        <w:t xml:space="preserve">retention odds. Adding the change variable to the level-only model more than doubled pseudo-</w:t>
      </w:r>
      <w:r>
        <w:rPr>
          <w:i/>
          <w:iCs/>
        </w:rPr>
        <w:t xml:space="preserve">R</w:t>
      </w:r>
      <w:r>
        <w:t xml:space="preserve">² (0.113 → 0.227). Both early behavioral heterogeneity and a within-athlete pull-back are present in our data; they are not substitutes.</w:t>
      </w:r>
    </w:p>
    <w:p>
      <w:pPr>
        <w:pStyle w:val="BodyText"/>
      </w:pPr>
      <w:r>
        <w:t xml:space="preserve">[</w:t>
      </w:r>
      <w:r>
        <w:rPr>
          <w:b/>
          <w:bCs/>
        </w:rPr>
        <w:t xml:space="preserve">Table 4 about here</w:t>
      </w:r>
      <w:r>
        <w:t xml:space="preserve">]</w:t>
      </w:r>
    </w:p>
    <w:bookmarkEnd w:id="42"/>
    <w:bookmarkStart w:id="43" w:name="time-aligned-behavior-vs.-performance"/>
    <w:p>
      <w:pPr>
        <w:pStyle w:val="Heading2"/>
      </w:pPr>
      <w:r>
        <w:t xml:space="preserve">3.7 Time-aligned behavior vs. performance</w:t>
      </w:r>
    </w:p>
    <w:p>
      <w:pPr>
        <w:pStyle w:val="FirstParagraph"/>
      </w:pPr>
      <w:r>
        <w:t xml:space="preserve">A reviewer concern with our earlier framing was that</w:t>
      </w:r>
      <w:r>
        <w:t xml:space="preserve"> </w:t>
      </w:r>
      <w:r>
        <w:t xml:space="preserve">“behavior beats performance”</w:t>
      </w:r>
      <w:r>
        <w:t xml:space="preserve"> </w:t>
      </w:r>
      <w:r>
        <w:t xml:space="preserve">compared post-baseline volume (ages 15–16) with baseline performance (ages 13–14), giving the behavioral predictor a temporal advantage. In a fully time-aligned comparison — both predictors measured during the baseline window of ages 13–14 — behavior still substantially out-predicts performance: AUC = 0.607 for sex + baseline Tyrving, AUC = 0.740 for sex + ages-13–14 volume, AUC = 0.737 for both combined (Supplementary Table S15). The performance variable adds essentially nothing once early competition volume is known. The substantive direction of our earlier finding survives the time-aligned comparison.</w:t>
      </w:r>
    </w:p>
    <w:bookmarkEnd w:id="43"/>
    <w:bookmarkStart w:id="44" w:name="X5edab9ffdb59cfb1a6c0e842c5a243c15ec97ab"/>
    <w:p>
      <w:pPr>
        <w:pStyle w:val="Heading2"/>
      </w:pPr>
      <w:r>
        <w:t xml:space="preserve">3.8 Landmark analysis: post-baseline behavior among continuing athletes</w:t>
      </w:r>
    </w:p>
    <w:p>
      <w:pPr>
        <w:pStyle w:val="FirstParagraph"/>
      </w:pPr>
      <w:r>
        <w:t xml:space="preserve">For readers interested in the question</w:t>
      </w:r>
      <w:r>
        <w:t xml:space="preserve"> </w:t>
      </w:r>
      <w:r>
        <w:t xml:space="preserve">“given that an athlete reaches age 16 actively, what predicts subsequent retention?”</w:t>
      </w:r>
      <w:r>
        <w:t xml:space="preserve">, we re-fit the full Cox model in athletes with at least one registered result at age 16 (n = 1,167), with follow-up measured from age 16 forward (Supplementary Table S8). Competition volume across ages 15–16 remained the dominant predictor (HR = 0.60 per SD, 95% CI [0.54, 0.66], C-index = 0.74). A complementary analysis excluding athletes with milestone volume = 0 produced HR = 0.51 (Supplementary Table S11). The full Cox time-to-cessation model with baseline-only predictors is in Supplementary Table S16, and a period-specific decomposition is in Table 5. We do not use the baseline-start Cox model with post-baseline behavioral covariates (ages 15–16 volume, pre-17 championships) as a primary estimate because the predictor and the early portion of the at-risk window overlap in time.</w:t>
      </w:r>
    </w:p>
    <w:bookmarkEnd w:id="44"/>
    <w:bookmarkStart w:id="45" w:name="prospective-early-warning-thresholds"/>
    <w:p>
      <w:pPr>
        <w:pStyle w:val="Heading2"/>
      </w:pPr>
      <w:r>
        <w:t xml:space="preserve">3.9 Prospective early-warning thresholds</w:t>
      </w:r>
    </w:p>
    <w:p>
      <w:pPr>
        <w:pStyle w:val="FirstParagraph"/>
      </w:pPr>
      <w:r>
        <w:t xml:space="preserve">Because the primary analysis uses only baseline-window data, we can compute calibration metrics for a prospective early-warning rule applied at the end of the baseline window (i.e., for federation use after each athlete’s age-14 season). Table 6 reports sensitivity, specificity, PPV, and NPV at five candidate thresholds on pre-milestone competition volume. At a moderate threshold (vol &lt; 10 meets across ages 13–14, flagging 26.4% of the cohort), PPV is 0.94 — among flagged athletes, 94% subsequently failed to retain senior activity. Sensitivity is 0.30 at this threshold (i.e., the rule identifies 30% of all eventual non-retainers). Lower thresholds (vol &lt; 5) suit highly targeted intervention (PPV 0.93, 9% flagged); higher thresholds (vol &lt; 15) broaden the screen (PPV 0.93, 43% flagged). The high PPV partly reflects the high base rate of non-retention (84%); an unsophisticated</w:t>
      </w:r>
      <w:r>
        <w:t xml:space="preserve"> </w:t>
      </w:r>
      <w:r>
        <w:t xml:space="preserve">“everyone drops out”</w:t>
      </w:r>
      <w:r>
        <w:t xml:space="preserve"> </w:t>
      </w:r>
      <w:r>
        <w:t xml:space="preserve">rule already achieves PPV = 0.84. The behavioral threshold improves precision by 9–10 percentage points over base-rate prediction while providing graduated sensitivity that base-rate prediction cannot.</w:t>
      </w:r>
    </w:p>
    <w:p>
      <w:pPr>
        <w:pStyle w:val="BodyText"/>
      </w:pPr>
      <w:r>
        <w:t xml:space="preserve">[</w:t>
      </w:r>
      <w:r>
        <w:rPr>
          <w:b/>
          <w:bCs/>
        </w:rPr>
        <w:t xml:space="preserve">Table 6 about here</w:t>
      </w:r>
      <w:r>
        <w:t xml:space="preserve">]</w:t>
      </w:r>
    </w:p>
    <w:bookmarkEnd w:id="45"/>
    <w:bookmarkStart w:id="46" w:name="specialization-is-protective-in-our-data"/>
    <w:p>
      <w:pPr>
        <w:pStyle w:val="Heading2"/>
      </w:pPr>
      <w:r>
        <w:t xml:space="preserve">3.10 Specialization is protective in our data</w:t>
      </w:r>
    </w:p>
    <w:p>
      <w:pPr>
        <w:pStyle w:val="FirstParagraph"/>
      </w:pPr>
      <w:r>
        <w:t xml:space="preserve">The HHI coefficient in our primary model indicated that higher baseline event-category concentration (HHI) is associated with</w:t>
      </w:r>
      <w:r>
        <w:t xml:space="preserve"> </w:t>
      </w:r>
      <w:r>
        <w:rPr>
          <w:i/>
          <w:iCs/>
        </w:rPr>
        <w:t xml:space="preserve">higher</w:t>
      </w:r>
      <w:r>
        <w:t xml:space="preserve"> </w:t>
      </w:r>
      <w:r>
        <w:t xml:space="preserve">senior retention. The combined-cohort estimate was OR = 1.35 per SD of HHI (95% CI [1.16, 1.57],</w:t>
      </w:r>
      <w:r>
        <w:t xml:space="preserve"> </w:t>
      </w:r>
      <w:r>
        <w:rPr>
          <w:i/>
          <w:iCs/>
        </w:rPr>
        <w:t xml:space="preserve">p</w:t>
      </w:r>
      <w:r>
        <w:t xml:space="preserve"> </w:t>
      </w:r>
      <w:r>
        <w:t xml:space="preserve">&lt; .001 in the primary baseline-only logistic regression; HR = 0.80 in the time-to-cessation Cox model, Supplementary Table S16). The effect was present in both cohorts (Cohort A OR = 1.24, Cohort B OR = 1.58). Within our data, athletes whose ages-13–14 results were more concentrated in fewer event categories — that is, those who specialized earlier — were</w:t>
      </w:r>
      <w:r>
        <w:t xml:space="preserve"> </w:t>
      </w:r>
      <w:r>
        <w:rPr>
          <w:i/>
          <w:iCs/>
        </w:rPr>
        <w:t xml:space="preserve">more</w:t>
      </w:r>
      <w:r>
        <w:t xml:space="preserve"> </w:t>
      </w:r>
      <w:r>
        <w:t xml:space="preserve">likely to retain senior activity, not less. This is contrary to the international diversification literature for</w:t>
      </w:r>
      <w:r>
        <w:t xml:space="preserve"> </w:t>
      </w:r>
      <w:r>
        <w:rPr>
          <w:i/>
          <w:iCs/>
        </w:rPr>
        <w:t xml:space="preserve">peak performance</w:t>
      </w:r>
      <w:r>
        <w:t xml:space="preserve"> </w:t>
      </w:r>
      <w:r>
        <w:t xml:space="preserve">(Côté &amp; Hancock, 2016; Güllich et al., 2022), and we discuss possible reasons in §4.6.</w:t>
      </w:r>
    </w:p>
    <w:bookmarkEnd w:id="46"/>
    <w:bookmarkStart w:id="47" w:name="cross-cohort-replication-and-sensitivity"/>
    <w:p>
      <w:pPr>
        <w:pStyle w:val="Heading2"/>
      </w:pPr>
      <w:r>
        <w:t xml:space="preserve">3.11 Cross-cohort replication and sensitivity</w:t>
      </w:r>
    </w:p>
    <w:p>
      <w:pPr>
        <w:pStyle w:val="FirstParagraph"/>
      </w:pPr>
      <w:r>
        <w:t xml:space="preserve">The primary baseline-only logistic regression was re-estimated separately in each birth-year cohort. The pre-milestone volume effect replicated: Cohort A OR = 2.22 (95% CI [1.86, 2.64]); Cohort B OR = 2.79 [2.17, 3.58]; both</w:t>
      </w:r>
      <w:r>
        <w:t xml:space="preserve"> </w:t>
      </w:r>
      <w:r>
        <w:rPr>
          <w:i/>
          <w:iCs/>
        </w:rPr>
        <w:t xml:space="preserve">p</w:t>
      </w:r>
      <w:r>
        <w:t xml:space="preserve"> </w:t>
      </w:r>
      <w:r>
        <w:t xml:space="preserve">&lt; .001 (Table 7). All other effects replicated in direction; sex was significant in Cohort A but not Cohort B, as previously reported. The volume effect was robust to outcome-definition sensitivity (Supplementary Table S9): odds ratios were 2.79, 3.08, and 2.94 for outcomes ≥1, ≥2, and ≥2-in-two-years respectively. The cluster-robust SE estimator at the club level preserved coefficient estimates (Supplementary Table S2). The E-value for the milestone-window volume effect (HR = 0.35 in the secondary post-baseline Cox specification) was 5.16, with a corresponding lower-CI E-value of 4.70 (Supplementary Table S3; VanderWeele &amp; Ding, 2017): an unmeasured confounder would need a risk-ratio association exceeding 5 with both predictor and outcome to nullify the effect, well above any observed covariate.</w:t>
      </w:r>
    </w:p>
    <w:p>
      <w:pPr>
        <w:pStyle w:val="BodyText"/>
      </w:pPr>
      <w:r>
        <w:t xml:space="preserve">In summary: across two independent birth-year cohorts spanning a 5-year window, baseline-window competition volume (ages 13–14) was the dominant prospective predictor of senior retention (OR 2.40 per SD, AUC 0.751). The effect is robust to structural controls, to outcome definition, to clustering, to missing-data treatment, and to alternative model specifications. Both early behavioral heterogeneity and within-athlete pull-back across the age-14-to-15 transition contribute substantially and independently. Specialization (higher HHI in baseline events) is protective in our data, a finding that runs against the international diversification literature for elite peak performance.</w:t>
      </w:r>
    </w:p>
    <w:p>
      <w:r>
        <w:pict>
          <v:rect style="width:0;height:1.5pt" o:hralign="center" o:hrstd="t" o:hr="t"/>
        </w:pict>
      </w:r>
    </w:p>
    <w:bookmarkEnd w:id="47"/>
    <w:bookmarkStart w:id="48" w:name="discussion"/>
    <w:p>
      <w:pPr>
        <w:pStyle w:val="Heading2"/>
      </w:pPr>
      <w:r>
        <w:t xml:space="preserve">4. Discussion</w:t>
      </w:r>
    </w:p>
    <w:bookmarkEnd w:id="48"/>
    <w:bookmarkStart w:id="49" w:name="summary-of-findings"/>
    <w:p>
      <w:pPr>
        <w:pStyle w:val="Heading2"/>
      </w:pPr>
      <w:r>
        <w:t xml:space="preserve">4.1 Summary of findings</w:t>
      </w:r>
    </w:p>
    <w:p>
      <w:pPr>
        <w:pStyle w:val="FirstParagraph"/>
      </w:pPr>
      <w:r>
        <w:t xml:space="preserve">In a population of 2,123 Norwegian youth track-and-field athletes followed for up to 14 years, four findings stand out. First, baseline-window (ages 13–14) competition volume was strongly and prospectively associated with eventual senior retention (OR = 2.40 per SD, 95% CI [2.07, 2.78]; cross-validated AUC = 0.751 with sex, baseline Tyrving, baseline HHI, and pre-milestone volume as predictors). Second, the volume effect was robust to structural controls (region, birth quarter, club size) with essentially no change in the coefficient (OR 2.40 → 2.40 with controls), and replicated across both birth-year cohorts. Third, both</w:t>
      </w:r>
      <w:r>
        <w:t xml:space="preserve"> </w:t>
      </w:r>
      <w:r>
        <w:rPr>
          <w:i/>
          <w:iCs/>
        </w:rPr>
        <w:t xml:space="preserve">early behavioral heterogeneity</w:t>
      </w:r>
      <w:r>
        <w:t xml:space="preserve"> </w:t>
      </w:r>
      <w:r>
        <w:t xml:space="preserve">and</w:t>
      </w:r>
      <w:r>
        <w:t xml:space="preserve"> </w:t>
      </w:r>
      <w:r>
        <w:rPr>
          <w:i/>
          <w:iCs/>
        </w:rPr>
        <w:t xml:space="preserve">within-athlete pull-back</w:t>
      </w:r>
      <w:r>
        <w:t xml:space="preserve"> </w:t>
      </w:r>
      <w:r>
        <w:t xml:space="preserve">contributed independently to the dropout signal: at the end of the age-14 season, athletes who had not yet dropped out still differed substantially in volume level (OR = 2.79 per SD), and a within-athlete decline across the age-14-to-15 transition further independently predicted dropout (OR = 2.44 per SD, with pseudo-</w:t>
      </w:r>
      <w:r>
        <w:rPr>
          <w:i/>
          <w:iCs/>
        </w:rPr>
        <w:t xml:space="preserve">R</w:t>
      </w:r>
      <w:r>
        <w:t xml:space="preserve">² doubling from 0.11 to 0.23 when the change variable is added; Section 3.6). Fourth, specialization in baseline events (higher HHI) was associated with</w:t>
      </w:r>
      <w:r>
        <w:t xml:space="preserve"> </w:t>
      </w:r>
      <w:r>
        <w:rPr>
          <w:i/>
          <w:iCs/>
        </w:rPr>
        <w:t xml:space="preserve">higher</w:t>
      </w:r>
      <w:r>
        <w:t xml:space="preserve"> </w:t>
      </w:r>
      <w:r>
        <w:t xml:space="preserve">senior retention in our data — opposite to the predicted direction in the international diversification literature for elite peak-performance outcomes.</w:t>
      </w:r>
    </w:p>
    <w:p>
      <w:pPr>
        <w:pStyle w:val="BodyText"/>
      </w:pPr>
      <w:r>
        <w:t xml:space="preserve">The Cox time-to-cessation analyses (Supplementary Tables S8 and S16; period-specific decomposition in Table 5) reinforce these findings. Among the 1,167 athletes still demonstrably active at age 16, milestone-window volume continued to be strongly associated with subsequent cessation (HR = 0.60 per SD; Supplementary Table S8). Period-specific estimates indicated that the association was most pronounced in the proximal follow-up window (HR = 0.14 in years 0–3) and dissipated in late follow-up (HR = 0.96 in years 6+), though this early-window estimate is partly conflated with the same operational overlap discussed below.</w:t>
      </w:r>
    </w:p>
    <w:bookmarkEnd w:id="49"/>
    <w:bookmarkStart w:id="50" w:name="X2907cacc9dc4ed31787261dbff099a7ab57dc46"/>
    <w:p>
      <w:pPr>
        <w:pStyle w:val="Heading2"/>
      </w:pPr>
      <w:r>
        <w:t xml:space="preserve">4.2 Behavior beats performance even in time-aligned comparison</w:t>
      </w:r>
    </w:p>
    <w:p>
      <w:pPr>
        <w:pStyle w:val="FirstParagraph"/>
      </w:pPr>
      <w:r>
        <w:t xml:space="preserve">A central observation is that behavior, measured by registered competition count, out-predicts performance, measured by Tyrving age-norm score, even when both are taken from the same baseline window (ages 13–14). In a fully time-aligned cross-validated comparison (Section 3.7; Supplementary Table S15), sex + Tyrving achieves AUC = 0.607, sex + pre-milestone volume achieves AUC = 0.740, and both together achieve AUC = 0.737 — performance adds essentially nothing once early competition volume is observed. The mechanistic interpretation is that performance reflects what an athlete</w:t>
      </w:r>
      <w:r>
        <w:t xml:space="preserve"> </w:t>
      </w:r>
      <w:r>
        <w:rPr>
          <w:i/>
          <w:iCs/>
        </w:rPr>
        <w:t xml:space="preserve">can do</w:t>
      </w:r>
      <w:r>
        <w:t xml:space="preserve">; competition volume reflects what they</w:t>
      </w:r>
      <w:r>
        <w:t xml:space="preserve"> </w:t>
      </w:r>
      <w:r>
        <w:rPr>
          <w:i/>
          <w:iCs/>
        </w:rPr>
        <w:t xml:space="preserve">choose to do</w:t>
      </w:r>
      <w:r>
        <w:t xml:space="preserve">. The choice variable is what subsequently dropout cascades from.</w:t>
      </w:r>
    </w:p>
    <w:p>
      <w:pPr>
        <w:pStyle w:val="BodyText"/>
      </w:pPr>
      <w:r>
        <w:t xml:space="preserve">We also acknowledge the epistemic asymmetry: both the predictor and the outcome involve registered competitive activity, so any</w:t>
      </w:r>
      <w:r>
        <w:t xml:space="preserve"> </w:t>
      </w:r>
      <w:r>
        <w:t xml:space="preserve">“behavior outperforms performance”</w:t>
      </w:r>
      <w:r>
        <w:t xml:space="preserve"> </w:t>
      </w:r>
      <w:r>
        <w:t xml:space="preserve">claim should be read as identifying the</w:t>
      </w:r>
      <w:r>
        <w:t xml:space="preserve"> </w:t>
      </w:r>
      <w:r>
        <w:rPr>
          <w:i/>
          <w:iCs/>
        </w:rPr>
        <w:t xml:space="preserve">temporal structure</w:t>
      </w:r>
      <w:r>
        <w:t xml:space="preserve"> </w:t>
      </w:r>
      <w:r>
        <w:t xml:space="preserve">by which competitive disengagement becomes observable rather than as showing that an underlying engagement-balance mechanism</w:t>
      </w:r>
      <w:r>
        <w:t xml:space="preserve"> </w:t>
      </w:r>
      <w:r>
        <w:rPr>
          <w:i/>
          <w:iCs/>
        </w:rPr>
        <w:t xml:space="preserve">causes</w:t>
      </w:r>
      <w:r>
        <w:t xml:space="preserve"> </w:t>
      </w:r>
      <w:r>
        <w:t xml:space="preserve">dropout. Our results are consistent with such a mechanism but do not establish it on their own.</w:t>
      </w:r>
    </w:p>
    <w:bookmarkEnd w:id="50"/>
    <w:bookmarkStart w:id="51" w:name="X6147f3b5f0be6ef55f88e7e9f6595edf7240460"/>
    <w:p>
      <w:pPr>
        <w:pStyle w:val="Heading2"/>
      </w:pPr>
      <w:r>
        <w:t xml:space="preserve">4.3 Pull-back is real — and so is early heterogeneity</w:t>
      </w:r>
    </w:p>
    <w:p>
      <w:pPr>
        <w:pStyle w:val="FirstParagraph"/>
      </w:pPr>
      <w:r>
        <w:t xml:space="preserve">The reviewer-critical question for any</w:t>
      </w:r>
      <w:r>
        <w:t xml:space="preserve"> </w:t>
      </w:r>
      <w:r>
        <w:t xml:space="preserve">“pulling back before pulling out”</w:t>
      </w:r>
      <w:r>
        <w:t xml:space="preserve"> </w:t>
      </w:r>
      <w:r>
        <w:t xml:space="preserve">framing is whether the headline pattern is (a) a genuine within-athlete pull-back from an initially shared baseline, or (b) early separation between athletes who were already on different behavioral trajectories at the start. The descriptive evidence (Figure 2, Table 2) is mixed: future retainers and future dropouts already differ at ages 13–14 (median 13 and 17 versus 8 and 8 meets), suggesting early separation; but the steepest divergence happens across the age-14-to-15 transition, suggesting within-athlete decline.</w:t>
      </w:r>
    </w:p>
    <w:p>
      <w:pPr>
        <w:pStyle w:val="BodyText"/>
      </w:pPr>
      <w:r>
        <w:t xml:space="preserve">The pull-back/typology decomposition (Section 3.6) resolves this. Both effects are present and substantial. Conditional on age-14 volume level (OR = 2.79 per SD), a one-SD greater decline from age 14 to age 15 was associated with 2.44-times lower retention odds. Adding the change variable more than doubled pseudo-</w:t>
      </w:r>
      <w:r>
        <w:rPr>
          <w:i/>
          <w:iCs/>
        </w:rPr>
        <w:t xml:space="preserve">R</w:t>
      </w:r>
      <w:r>
        <w:t xml:space="preserve">² (0.11 to 0.23). Neither interpretation alone is correct: a substantial portion of the dropout signal is the divergence between investors and samplers (Wall &amp; Côté, 2007) detectable at age 13–14, and a substantial portion is a subsequent within-athlete pull-back among the not-yet-dropped-out, observable as falling volume in the year before formal exit.</w:t>
      </w:r>
    </w:p>
    <w:bookmarkEnd w:id="51"/>
    <w:bookmarkStart w:id="52" w:name="X83593a4ec69740fca69823d39342c2dcca42a8b"/>
    <w:p>
      <w:pPr>
        <w:pStyle w:val="Heading2"/>
      </w:pPr>
      <w:r>
        <w:t xml:space="preserve">4.4 Consistency with existing theoretical accounts</w:t>
      </w:r>
    </w:p>
    <w:p>
      <w:pPr>
        <w:pStyle w:val="FirstParagraph"/>
      </w:pPr>
      <w:r>
        <w:t xml:space="preserve">Our findings are consistent with three pre-existing theoretical traditions, each of which has predicted (on different data sources) the pattern we observe. We avoid the stronger claim that the findings</w:t>
      </w:r>
      <w:r>
        <w:t xml:space="preserve"> </w:t>
      </w:r>
      <w:r>
        <w:rPr>
          <w:i/>
          <w:iCs/>
        </w:rPr>
        <w:t xml:space="preserve">confirm</w:t>
      </w:r>
      <w:r>
        <w:t xml:space="preserve"> </w:t>
      </w:r>
      <w:r>
        <w:t xml:space="preserve">any of these accounts; the design measures behavior, not subjective motivation.</w:t>
      </w:r>
    </w:p>
    <w:p>
      <w:pPr>
        <w:pStyle w:val="BodyText"/>
      </w:pPr>
      <w:r>
        <w:t xml:space="preserve">The Sport Commitment Model (Scanlan et al., 1993, 2016) frames continued participation as an enjoyment-investment-constraints balance: our retainer and dropout trajectories are consistent with stable enthusiastic versus eroding commitment respectively. Self-determination theory and its sport applications (Ryan &amp; Deci, 2000; Vallerand, 1997, 2007; Sarrazin et al., 2002; Calvo et al., 2010; Standage, 2012) predict that well-internalized motivation sustains persistence under rising demands; future retainers behave consistent with this. The qualitative withdrawal-as-process tradition (Ebaugh, 1988; Eliasson &amp; Johansson, 2021; Espedalen &amp; Seippel, 2022) characterizes dropout as gradual deliberation often unfolding while athletes are still nominally participating: our register shows exactly such an unfolding (at age 15 a typical future dropout was still competing in 3 meets, IQR stretching to 11). Wall and Côté’s (2007) investor-versus-sampler distinction and Espedalen’s (2025) engaged-enthusiasts-versus-constrained-casuals account both predict bifurcating behavioral trajectories.</w:t>
      </w:r>
    </w:p>
    <w:p>
      <w:pPr>
        <w:pStyle w:val="BodyText"/>
      </w:pPr>
      <w:r>
        <w:t xml:space="preserve">In short, the pattern we identify is what each account predicts if its mechanism leaves a footprint in observable competition behavior. The register cannot adjudicate among them; it shows that</w:t>
      </w:r>
      <w:r>
        <w:t xml:space="preserve"> </w:t>
      </w:r>
      <w:r>
        <w:rPr>
          <w:i/>
          <w:iCs/>
        </w:rPr>
        <w:t xml:space="preserve">some</w:t>
      </w:r>
      <w:r>
        <w:t xml:space="preserve"> </w:t>
      </w:r>
      <w:r>
        <w:t xml:space="preserve">mechanism producing this footprint is at work, and that the footprint is large.</w:t>
      </w:r>
    </w:p>
    <w:bookmarkEnd w:id="52"/>
    <w:bookmarkStart w:id="53" w:name="the-sex-effect"/>
    <w:p>
      <w:pPr>
        <w:pStyle w:val="Heading2"/>
      </w:pPr>
      <w:r>
        <w:t xml:space="preserve">4.5 The sex effect</w:t>
      </w:r>
    </w:p>
    <w:p>
      <w:pPr>
        <w:pStyle w:val="FirstParagraph"/>
      </w:pPr>
      <w:r>
        <w:t xml:space="preserve">In the unadjusted Kaplan-Meier analysis we found no overall sex difference in retention (log-rank</w:t>
      </w:r>
      <w:r>
        <w:t xml:space="preserve"> </w:t>
      </w:r>
      <w:r>
        <w:rPr>
          <w:i/>
          <w:iCs/>
        </w:rPr>
        <w:t xml:space="preserve">p</w:t>
      </w:r>
      <w:r>
        <w:t xml:space="preserve"> </w:t>
      </w:r>
      <w:r>
        <w:t xml:space="preserve">= 0.33), in contrast to Bakken’s (2019) and other Norwegian survey-based findings of higher female dropout. Within the multivariable model, the female coefficient was significant in Cohort A (HR = 1.19,</w:t>
      </w:r>
      <w:r>
        <w:t xml:space="preserve"> </w:t>
      </w:r>
      <w:r>
        <w:rPr>
          <w:i/>
          <w:iCs/>
        </w:rPr>
        <w:t xml:space="preserve">p</w:t>
      </w:r>
      <w:r>
        <w:t xml:space="preserve"> </w:t>
      </w:r>
      <w:r>
        <w:t xml:space="preserve">= .006) but not in Cohort B (HR = 1.02,</w:t>
      </w:r>
      <w:r>
        <w:t xml:space="preserve"> </w:t>
      </w:r>
      <w:r>
        <w:rPr>
          <w:i/>
          <w:iCs/>
        </w:rPr>
        <w:t xml:space="preserve">p</w:t>
      </w:r>
      <w:r>
        <w:t xml:space="preserve"> </w:t>
      </w:r>
      <w:r>
        <w:t xml:space="preserve">= .83). The subgroup analysis (Supplementary Table S7) shows that the</w:t>
      </w:r>
      <w:r>
        <w:t xml:space="preserve"> </w:t>
      </w:r>
      <w:r>
        <w:rPr>
          <w:i/>
          <w:iCs/>
        </w:rPr>
        <w:t xml:space="preserve">behavioral mechanism</w:t>
      </w:r>
      <w:r>
        <w:t xml:space="preserve"> </w:t>
      </w:r>
      <w:r>
        <w:t xml:space="preserve">is identical across sexes: milestone-window volume is similarly strongly associated with reduced dropout hazard in male (HR = 0.42) and female (HR = 0.46) athletes, with C-indices of 0.843 in each subgroup. Whatever drives the residual sex differential in retention operates on top of, not through, the behavioral engagement pathway. The cohort difference may reflect an older-cohort sex effect that is dissipating, or sport-specific factors that differ from team-sport contexts where sex differences are more pronounced; our data cannot adjudicate between these readings.</w:t>
      </w:r>
    </w:p>
    <w:bookmarkEnd w:id="53"/>
    <w:bookmarkStart w:id="54" w:name="X37bc2f5af12aa0e62fcce0882df4f986788eb3d"/>
    <w:p>
      <w:pPr>
        <w:pStyle w:val="Heading2"/>
      </w:pPr>
      <w:r>
        <w:t xml:space="preserve">4.6 Specialization is protective in our population (contrary expectation)</w:t>
      </w:r>
    </w:p>
    <w:p>
      <w:pPr>
        <w:pStyle w:val="FirstParagraph"/>
      </w:pPr>
      <w:r>
        <w:t xml:space="preserve">The international diversification literature (Côté &amp; Hancock, 2016; Güllich et al., 2022; Wall &amp; Côté, 2007) finds that</w:t>
      </w:r>
      <w:r>
        <w:t xml:space="preserve"> </w:t>
      </w:r>
      <w:r>
        <w:rPr>
          <w:i/>
          <w:iCs/>
        </w:rPr>
        <w:t xml:space="preserve">peak performance</w:t>
      </w:r>
      <w:r>
        <w:t xml:space="preserve"> </w:t>
      </w:r>
      <w:r>
        <w:t xml:space="preserve">is supported by early multidisciplinary practice. Our data on</w:t>
      </w:r>
      <w:r>
        <w:t xml:space="preserve"> </w:t>
      </w:r>
      <w:r>
        <w:rPr>
          <w:i/>
          <w:iCs/>
        </w:rPr>
        <w:t xml:space="preserve">retention</w:t>
      </w:r>
      <w:r>
        <w:t xml:space="preserve"> </w:t>
      </w:r>
      <w:r>
        <w:t xml:space="preserve">point the opposite way: higher baseline event-category concentration (specialization in fewer events) is associated with higher senior retention (OR = 1.35 per SD of HHI, 95% CI [1.16, 1.57]; combined logistic model). The effect was present in both cohorts (A: OR 1.22; B: OR 1.58) and survived in the time-to-cessation Cox model (HR = 0.80).</w:t>
      </w:r>
    </w:p>
    <w:p>
      <w:pPr>
        <w:pStyle w:val="BodyText"/>
      </w:pPr>
      <w:r>
        <w:t xml:space="preserve">We see three possible reconciliations: (i) peak-performance and retention are different outcomes, and the burnout-from-early-specialization argument concerns elite trajectories rather than everyday participation; (ii)</w:t>
      </w:r>
      <w:r>
        <w:t xml:space="preserve"> </w:t>
      </w:r>
      <w:r>
        <w:t xml:space="preserve">“specialization”</w:t>
      </w:r>
      <w:r>
        <w:t xml:space="preserve"> </w:t>
      </w:r>
      <w:r>
        <w:t xml:space="preserve">at ages 13–14 in this register may proxy for family/club-supported sustained engagement rather than for performance optimization; (iii) our soft-selected cohort comprises already-engaged adolescents, so the protective effect may be retention-given-engagement, not whether-to-engage. We frame this as a contrast with the established literature rather than a refutation — both can be correct about their respective outcomes.</w:t>
      </w:r>
    </w:p>
    <w:bookmarkEnd w:id="54"/>
    <w:bookmarkStart w:id="55" w:name="what-the-register-contributes"/>
    <w:p>
      <w:pPr>
        <w:pStyle w:val="Heading2"/>
      </w:pPr>
      <w:r>
        <w:t xml:space="preserve">4.7 What the register contributes</w:t>
      </w:r>
    </w:p>
    <w:p>
      <w:pPr>
        <w:pStyle w:val="FirstParagraph"/>
      </w:pPr>
      <w:r>
        <w:t xml:space="preserve">Survey and interview research on youth-sport dropout suffers from two structural limitations: dropped-out athletes are harder to recruit (Eime et al., 2013), and retrospective accounts compress a gradual process into recallable decision-point narratives (Schacter, 2001). Continuous register data sidesteps both: the population is complete by construction, and the behavioral trajectory is timestamped, not reconstructed.</w:t>
      </w:r>
    </w:p>
    <w:p>
      <w:pPr>
        <w:pStyle w:val="BodyText"/>
      </w:pPr>
      <w:r>
        <w:t xml:space="preserve">We add not a new theoretical account but a</w:t>
      </w:r>
      <w:r>
        <w:t xml:space="preserve"> </w:t>
      </w:r>
      <w:r>
        <w:rPr>
          <w:i/>
          <w:iCs/>
        </w:rPr>
        <w:t xml:space="preserve">longitudinal behavioral test</w:t>
      </w:r>
      <w:r>
        <w:t xml:space="preserve"> </w:t>
      </w:r>
      <w:r>
        <w:t xml:space="preserve">of accounts argued primarily on cross-sectional or short-prospective evidence. Our signal classifies senior retention at AUC = 0.751 with only baseline-window data, replicates across two birth-year cohorts, withstands structural controls and an E-value exceeding 5, and decomposes into both early-heterogeneity and within-athlete pull-back components.</w:t>
      </w:r>
    </w:p>
    <w:bookmarkEnd w:id="55"/>
    <w:bookmarkStart w:id="56" w:name="practical-implications"/>
    <w:p>
      <w:pPr>
        <w:pStyle w:val="Heading2"/>
      </w:pPr>
      <w:r>
        <w:t xml:space="preserve">4.8 Practical implications</w:t>
      </w:r>
    </w:p>
    <w:p>
      <w:pPr>
        <w:pStyle w:val="FirstParagraph"/>
      </w:pPr>
      <w:r>
        <w:t xml:space="preserve">The findings suggest a tractable early-warning approach for retention-focused interventions. Because the primary calibration is based on pre-milestone (ages 13–14) volume — data fully observed by the end of each athlete’s age-14 season — the rule is implementable prospectively, before the qualification window opens (Table 6). PPVs across plausible thresholds range from 0.93 to 0.96, which is 9–12 percentage points above the base-rate prediction (PPV ≈ 0.84) and is accompanied by graduated sensitivity that base-rate prediction does not provide.</w:t>
      </w:r>
    </w:p>
    <w:p>
      <w:pPr>
        <w:pStyle w:val="BodyText"/>
      </w:pPr>
      <w:r>
        <w:rPr>
          <w:b/>
          <w:bCs/>
        </w:rPr>
        <w:t xml:space="preserve">Worked example.</w:t>
      </w:r>
      <w:r>
        <w:t xml:space="preserve"> </w:t>
      </w:r>
      <w:r>
        <w:t xml:space="preserve">Consider a regional federation cohort of 400 youth athletes after their 14-year-old season. Applying the moderate threshold (pre-milestone volume across ages 13–14 &lt; 10 meets), the federation would flag 26.4% of athletes (≈ 106 of 400). Among these flagged athletes, 94% would otherwise drop out before senior age. Lower thresholds (vol &lt; 5 meets, 9% flagged, PPV = 0.93) suit highly targeted resource-constrained intervention; higher thresholds (vol &lt; 15 meets, 43% flagged, PPV = 0.93) suit broader outreach. The choice is operational, not statistical. Importantly, the same rule applied at the end of an athlete’s age-15 season — when within-athlete volume change becomes observable — would have additional sensitivity, since pull-back across ages 14–15 carries independent predictive information (Section 3.6, Table 4).</w:t>
      </w:r>
    </w:p>
    <w:p>
      <w:pPr>
        <w:pStyle w:val="BodyText"/>
      </w:pPr>
      <w:r>
        <w:t xml:space="preserve">We note that behavioral surveillance is a</w:t>
      </w:r>
      <w:r>
        <w:t xml:space="preserve"> </w:t>
      </w:r>
      <w:r>
        <w:rPr>
          <w:i/>
          <w:iCs/>
        </w:rPr>
        <w:t xml:space="preserve">complement</w:t>
      </w:r>
      <w:r>
        <w:t xml:space="preserve"> </w:t>
      </w:r>
      <w:r>
        <w:t xml:space="preserve">to, not a replacement for, commitment- and motivation-focused instruments such as the SCQ-2 (Scanlan et al., 2016): behavioral data identify which athletes a coach should contact; an SCQ-2 administration (a sport-commitment instrument) helps shape what to discuss.</w:t>
      </w:r>
    </w:p>
    <w:bookmarkEnd w:id="56"/>
    <w:bookmarkStart w:id="57" w:name="limitations"/>
    <w:p>
      <w:pPr>
        <w:pStyle w:val="Heading2"/>
      </w:pPr>
      <w:r>
        <w:t xml:space="preserve">4.9 Limitations</w:t>
      </w:r>
    </w:p>
    <w:p>
      <w:pPr>
        <w:pStyle w:val="FirstParagraph"/>
      </w:pPr>
      <w:r>
        <w:t xml:space="preserve">First, the outcome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stops competing in track and field but continues to train, switches to recreational running, or moves to another sport is counted as a dropout. Second, the register records official performance, not subjective experience; the qualitative literature is essential for unpacking</w:t>
      </w:r>
      <w:r>
        <w:t xml:space="preserve"> </w:t>
      </w:r>
      <w:r>
        <w:rPr>
          <w:i/>
          <w:iCs/>
        </w:rPr>
        <w:t xml:space="preserve">why</w:t>
      </w:r>
      <w:r>
        <w:t xml:space="preserve"> </w:t>
      </w:r>
      <w:r>
        <w:t xml:space="preserve">volume declines, and our behavioral signal is best read as a summary of underlying processes, not a substitute. Third, the population is soft-selected through registered club membership: findings describe disengagement</w:t>
      </w:r>
      <w:r>
        <w:t xml:space="preserve"> </w:t>
      </w:r>
      <w:r>
        <w:rPr>
          <w:i/>
          <w:iCs/>
        </w:rPr>
        <w:t xml:space="preserve">from a baseline of demonstrable engagement</w:t>
      </w:r>
      <w:r>
        <w:t xml:space="preserve"> </w:t>
      </w:r>
      <w:r>
        <w:t xml:space="preserve">and do not generalize to children with no organized-sport history. Fourth, predictor and outcome share a measurement scale (registered competitive activity); although we have addressed this with a baseline-only primary model, landmark and zero-volume sensitivities, and the pull-back/typology decomposition, the structural overlap remains a conceptual limitation of register-only designs. Fifth, the secondary post-baseline Cox specification violated the proportional-hazards assumption for milestone-window volume (Schoenfeld χ² = 220.77); we therefore report period-specific estimates and stratified models descriptively rather than as clean prospective effects. Sixth, despite 14-year maximum follow-up, the 2001–2002 cohort has at most 4 post-senior years of observation; longer follow-up would allow us to distinguish</w:t>
      </w:r>
      <w:r>
        <w:t xml:space="preserve"> </w:t>
      </w:r>
      <w:r>
        <w:rPr>
          <w:i/>
          <w:iCs/>
        </w:rPr>
        <w:t xml:space="preserve">late dropouts</w:t>
      </w:r>
      <w:r>
        <w:t xml:space="preserve"> </w:t>
      </w:r>
      <w:r>
        <w:t xml:space="preserve">from genuine career athletes.</w:t>
      </w:r>
    </w:p>
    <w:bookmarkEnd w:id="57"/>
    <w:bookmarkStart w:id="58" w:name="future-directions"/>
    <w:p>
      <w:pPr>
        <w:pStyle w:val="Heading2"/>
      </w:pPr>
      <w:r>
        <w:t xml:space="preserve">4.10 Future directions</w:t>
      </w:r>
    </w:p>
    <w:p>
      <w:pPr>
        <w:pStyle w:val="FirstParagraph"/>
      </w:pPr>
      <w:r>
        <w:t xml:space="preserve">Three extensions deserve attention: linking the register-based behavioral signal to standard psychological instruments (e.g., SCQ-2, which measures sport commitment rather than intrinsic motivation per se) in currently active athletes to test whether low volume tracks low commitment or low enjoyment; testing cross-sport generalization where registers are less complete; and quasi-experimental implementation of behavioral surveillance with federation-level outreach to athletes whose pre-milestone volume falls below a non-zero threshold that excludes mechanically dropped-out athletes (e.g., 1 ≤ vol &lt; 10).</w:t>
      </w:r>
    </w:p>
    <w:bookmarkEnd w:id="58"/>
    <w:bookmarkStart w:id="59"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across the age-14-to-15 transition retain at substantially lower rates. The effect is robust to structural controls, replicates across two birth-year cohorts, and is not driven by mechanical zero-values. Both early heterogeneity and within-athlete pull-back contribute independently. Findings are consistent with — though they do not directly confirm — long-standing qualitative and theoretical accounts of dropout as a gradual deliberative process. They suggest a practical role for prospective register-based behavioral surveillance, implementable at the end of an athlete’s 14-year-old season.</w:t>
      </w:r>
    </w:p>
    <w:p>
      <w:r>
        <w:pict>
          <v:rect style="width:0;height:1.5pt" o:hralign="center" o:hrstd="t" o:hr="t"/>
        </w:pict>
      </w:r>
    </w:p>
    <w:bookmarkEnd w:id="59"/>
    <w:bookmarkStart w:id="60"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60"/>
    <w:bookmarkStart w:id="61" w:name="references"/>
    <w:p>
      <w:pPr>
        <w:pStyle w:val="Heading2"/>
      </w:pPr>
      <w:r>
        <w:t xml:space="preserve">References</w:t>
      </w:r>
    </w:p>
    <w:p>
      <w:pPr>
        <w:pStyle w:val="FirstParagraph"/>
      </w:pPr>
      <w:r>
        <w:t xml:space="preserve">(APA 7th edition format)</w:t>
      </w:r>
    </w:p>
    <w:p>
      <w:pPr>
        <w:pStyle w:val="BodyText"/>
      </w:pPr>
      <w:r>
        <w:t xml:space="preserve">Baker, J., Cattle, A., McAuley, A., Kelly, A., &amp; Johnston, K. (2026). Will artificial intelligence solve the riddle of athlete development? A critical review of how AI is being used for athlete identification, selection, and development.</w:t>
      </w:r>
      <w:r>
        <w:t xml:space="preserve"> </w:t>
      </w:r>
      <w:r>
        <w:rPr>
          <w:i/>
          <w:iCs/>
        </w:rPr>
        <w:t xml:space="preserve">Psychology of Sport and Exercise, 82</w:t>
      </w:r>
      <w:r>
        <w:t xml:space="preserve">, Article 102978. https://doi.org/10.1016/j.psychsport.2025.102978</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Peringa, I. P., Niessen, A. S. M., Meijer, R. R., &amp; den Hartigh, R. J. R. (2026). Why experience fails to foster expertise in athlete selection.</w:t>
      </w:r>
      <w:r>
        <w:t xml:space="preserve"> </w:t>
      </w:r>
      <w:r>
        <w:rPr>
          <w:i/>
          <w:iCs/>
        </w:rPr>
        <w:t xml:space="preserve">Psychology of Sport and Exercise, 82</w:t>
      </w:r>
      <w:r>
        <w:t xml:space="preserve">, Article 103022. https://doi.org/10.1016/j.psychsport.2025.103022</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2026-05-18T14:54:55Z</dcterms:created>
  <dcterms:modified xsi:type="dcterms:W3CDTF">2026-05-18T14:54:55Z</dcterms:modified>
</cp:coreProperties>
</file>

<file path=docProps/custom.xml><?xml version="1.0" encoding="utf-8"?>
<Properties xmlns="http://schemas.openxmlformats.org/officeDocument/2006/custom-properties" xmlns:vt="http://schemas.openxmlformats.org/officeDocument/2006/docPropsVTypes"/>
</file>