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 cohorts 1998–2002), recording annual competition counts, event diversification, championship participation, and Tyrving age-norm performance through 2025 — a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was the dominant predictor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protective — opposite to the diversification literature for peak performance.</w:t>
      </w:r>
    </w:p>
    <w:p>
      <w:pPr>
        <w:pStyle w:val="BodyText"/>
      </w:pPr>
      <w:r>
        <w:rPr>
          <w:b/>
          <w:bCs/>
        </w:rPr>
        <w:t xml:space="preserve">Conclusions.</w:t>
      </w:r>
      <w:r>
        <w:t xml:space="preserve"> </w:t>
      </w:r>
      <w:r>
        <w:t xml:space="preserve">Register-based behavior at the end of the age-14 season identifies athletes at high risk of dropout (PPV ≈ 0.94 at moderate thresholds), providing a prospective tool to complement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ages 13–14</w:t>
            </w:r>
          </w:p>
        </w:tc>
        <w:tc>
          <w:tcPr/>
          <w:p>
            <w:pPr>
              <w:pStyle w:val="Compact"/>
            </w:pPr>
            <w:r>
              <w:t xml:space="preserve">8</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46"/>
    <w:bookmarkStart w:id="50"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50"/>
    <w:bookmarkStart w:id="51"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bookmarkEnd w:id="51"/>
    <w:bookmarkStart w:id="52"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0.61</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52"/>
    <w:bookmarkStart w:id="53"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53"/>
    <w:bookmarkStart w:id="54"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bookmarkEnd w:id="54"/>
    <w:bookmarkStart w:id="55"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at age 14 (n = 1,914).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55"/>
    <w:bookmarkStart w:id="56" w:name="time-aligned-behavior-vs.-performance"/>
    <w:p>
      <w:pPr>
        <w:pStyle w:val="Heading2"/>
      </w:pPr>
      <w:r>
        <w:t xml:space="preserve">3.7 Time-aligned behavior vs. performance</w:t>
      </w:r>
    </w:p>
    <w:p>
      <w:pPr>
        <w:pStyle w:val="FirstParagraph"/>
      </w:pPr>
      <w:r>
        <w:t xml:space="preserve">A reviewer concern with our earlier framing was that</w:t>
      </w:r>
      <w:r>
        <w:t xml:space="preserve"> </w:t>
      </w:r>
      <w:r>
        <w:t xml:space="preserve">“behavior beats performance”</w:t>
      </w:r>
      <w:r>
        <w:t xml:space="preserve"> </w:t>
      </w:r>
      <w:r>
        <w:t xml:space="preserve">compared post-baseline volume (ages 15–16) with baseline performance (ages 13–14), giving the behavioral predictor a temporal advantage. In a fully time-aligned comparison — both predictors measured during the baseline window of ages 13–14 — behavior still substantially out-predicts performance: AUC = 0.607 for sex + baseline Tyrving, AUC = 0.740 for sex + ages-13–14 volume, AUC = 0.737 for both combined (Supplementary Table S15). The performance variable adds essentially nothing once early competition volume is known. The substantive direction of our earlier finding survives the time-aligned comparison.</w:t>
      </w:r>
    </w:p>
    <w:bookmarkEnd w:id="56"/>
    <w:bookmarkStart w:id="57"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remained the dominant predictor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57"/>
    <w:bookmarkStart w:id="58"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bookmarkEnd w:id="58"/>
    <w:bookmarkStart w:id="59"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3 meets</w:t>
            </w:r>
          </w:p>
        </w:tc>
        <w:tc>
          <w:tcPr/>
          <w:p>
            <w:pPr>
              <w:pStyle w:val="Compact"/>
            </w:pPr>
            <w:r>
              <w:t xml:space="preserve">2.3</w:t>
            </w:r>
          </w:p>
        </w:tc>
        <w:tc>
          <w:tcPr/>
          <w:p>
            <w:pPr>
              <w:pStyle w:val="Compact"/>
            </w:pPr>
            <w:r>
              <w:t xml:space="preserve">0.03</w:t>
            </w:r>
          </w:p>
        </w:tc>
        <w:tc>
          <w:tcPr/>
          <w:p>
            <w:pPr>
              <w:pStyle w:val="Compact"/>
            </w:pPr>
            <w:r>
              <w:t xml:space="preserve">1.00</w:t>
            </w:r>
          </w:p>
        </w:tc>
        <w:tc>
          <w:tcPr/>
          <w:p>
            <w:pPr>
              <w:pStyle w:val="Compact"/>
            </w:pPr>
            <w:r>
              <w:rPr>
                <w:b/>
                <w:bCs/>
              </w:rPr>
              <w:t xml:space="preserve">0.96</w:t>
            </w:r>
          </w:p>
        </w:tc>
        <w:tc>
          <w:tcPr/>
          <w:p>
            <w:pPr>
              <w:pStyle w:val="Compact"/>
            </w:pPr>
            <w:r>
              <w:t xml:space="preserve">0.17</w:t>
            </w:r>
          </w:p>
        </w:tc>
      </w:tr>
      <w:tr>
        <w:tc>
          <w:tcPr/>
          <w:p>
            <w:pPr>
              <w:pStyle w:val="Compact"/>
            </w:pPr>
            <w:r>
              <w:t xml:space="preserve">5 meets</w:t>
            </w:r>
          </w:p>
        </w:tc>
        <w:tc>
          <w:tcPr/>
          <w:p>
            <w:pPr>
              <w:pStyle w:val="Compact"/>
            </w:pPr>
            <w:r>
              <w:t xml:space="preserve">9.3</w:t>
            </w:r>
          </w:p>
        </w:tc>
        <w:tc>
          <w:tcPr/>
          <w:p>
            <w:pPr>
              <w:pStyle w:val="Compact"/>
            </w:pPr>
            <w:r>
              <w:t xml:space="preserve">0.10</w:t>
            </w:r>
          </w:p>
        </w:tc>
        <w:tc>
          <w:tcPr/>
          <w:p>
            <w:pPr>
              <w:pStyle w:val="Compact"/>
            </w:pPr>
            <w:r>
              <w:t xml:space="preserve">0.97</w:t>
            </w:r>
          </w:p>
        </w:tc>
        <w:tc>
          <w:tcPr/>
          <w:p>
            <w:pPr>
              <w:pStyle w:val="Compact"/>
            </w:pPr>
            <w:r>
              <w:rPr>
                <w:b/>
                <w:bCs/>
              </w:rPr>
              <w:t xml:space="preserve">0.93</w:t>
            </w:r>
          </w:p>
        </w:tc>
        <w:tc>
          <w:tcPr/>
          <w:p>
            <w:pPr>
              <w:pStyle w:val="Compact"/>
            </w:pPr>
            <w:r>
              <w:t xml:space="preserve">0.18</w:t>
            </w:r>
          </w:p>
        </w:tc>
      </w:tr>
      <w:tr>
        <w:tc>
          <w:tcPr/>
          <w:p>
            <w:pPr>
              <w:pStyle w:val="Compact"/>
            </w:pPr>
            <w:r>
              <w:t xml:space="preserve">8 meets</w:t>
            </w:r>
          </w:p>
        </w:tc>
        <w:tc>
          <w:tcPr/>
          <w:p>
            <w:pPr>
              <w:pStyle w:val="Compact"/>
            </w:pPr>
            <w:r>
              <w:t xml:space="preserve">19.8</w:t>
            </w:r>
          </w:p>
        </w:tc>
        <w:tc>
          <w:tcPr/>
          <w:p>
            <w:pPr>
              <w:pStyle w:val="Compact"/>
            </w:pPr>
            <w:r>
              <w:t xml:space="preserve">0.22</w:t>
            </w:r>
          </w:p>
        </w:tc>
        <w:tc>
          <w:tcPr/>
          <w:p>
            <w:pPr>
              <w:pStyle w:val="Compact"/>
            </w:pPr>
            <w:r>
              <w:t xml:space="preserve">0.94</w:t>
            </w:r>
          </w:p>
        </w:tc>
        <w:tc>
          <w:tcPr/>
          <w:p>
            <w:pPr>
              <w:pStyle w:val="Compact"/>
            </w:pPr>
            <w:r>
              <w:rPr>
                <w:b/>
                <w:bCs/>
              </w:rPr>
              <w:t xml:space="preserve">0.94</w:t>
            </w:r>
          </w:p>
        </w:tc>
        <w:tc>
          <w:tcPr/>
          <w:p>
            <w:pPr>
              <w:pStyle w:val="Compact"/>
            </w:pPr>
            <w:r>
              <w:t xml:space="preserve">0.20</w:t>
            </w:r>
          </w:p>
        </w:tc>
      </w:tr>
      <w:tr>
        <w:tc>
          <w:tcPr/>
          <w:p>
            <w:pPr>
              <w:pStyle w:val="Compact"/>
            </w:pPr>
            <w:r>
              <w:t xml:space="preserve">10 meets</w:t>
            </w:r>
          </w:p>
        </w:tc>
        <w:tc>
          <w:tcPr/>
          <w:p>
            <w:pPr>
              <w:pStyle w:val="Compact"/>
            </w:pPr>
            <w:r>
              <w:t xml:space="preserve">26.4</w:t>
            </w:r>
          </w:p>
        </w:tc>
        <w:tc>
          <w:tcPr/>
          <w:p>
            <w:pPr>
              <w:pStyle w:val="Compact"/>
            </w:pPr>
            <w:r>
              <w:t xml:space="preserve">0.30</w:t>
            </w:r>
          </w:p>
        </w:tc>
        <w:tc>
          <w:tcPr/>
          <w:p>
            <w:pPr>
              <w:pStyle w:val="Compact"/>
            </w:pPr>
            <w:r>
              <w:t xml:space="preserve">0.92</w:t>
            </w:r>
          </w:p>
        </w:tc>
        <w:tc>
          <w:tcPr/>
          <w:p>
            <w:pPr>
              <w:pStyle w:val="Compact"/>
            </w:pPr>
            <w:r>
              <w:rPr>
                <w:b/>
                <w:bCs/>
              </w:rPr>
              <w:t xml:space="preserve">0.94</w:t>
            </w:r>
          </w:p>
        </w:tc>
        <w:tc>
          <w:tcPr/>
          <w:p>
            <w:pPr>
              <w:pStyle w:val="Compact"/>
            </w:pPr>
            <w:r>
              <w:t xml:space="preserve">0.22</w:t>
            </w:r>
          </w:p>
        </w:tc>
      </w:tr>
      <w:tr>
        <w:tc>
          <w:tcPr/>
          <w:p>
            <w:pPr>
              <w:pStyle w:val="Compact"/>
            </w:pPr>
            <w:r>
              <w:t xml:space="preserve">15 meets</w:t>
            </w:r>
          </w:p>
        </w:tc>
        <w:tc>
          <w:tcPr/>
          <w:p>
            <w:pPr>
              <w:pStyle w:val="Compact"/>
            </w:pPr>
            <w:r>
              <w:t xml:space="preserve">43.1</w:t>
            </w:r>
          </w:p>
        </w:tc>
        <w:tc>
          <w:tcPr/>
          <w:p>
            <w:pPr>
              <w:pStyle w:val="Compact"/>
            </w:pPr>
            <w:r>
              <w:t xml:space="preserve">0.48</w:t>
            </w:r>
          </w:p>
        </w:tc>
        <w:tc>
          <w:tcPr/>
          <w:p>
            <w:pPr>
              <w:pStyle w:val="Compact"/>
            </w:pPr>
            <w:r>
              <w:t xml:space="preserve">0.84</w:t>
            </w:r>
          </w:p>
        </w:tc>
        <w:tc>
          <w:tcPr/>
          <w:p>
            <w:pPr>
              <w:pStyle w:val="Compact"/>
            </w:pPr>
            <w:r>
              <w:rPr>
                <w:b/>
                <w:bCs/>
              </w:rPr>
              <w:t xml:space="preserve">0.93</w:t>
            </w:r>
          </w:p>
        </w:tc>
        <w:tc>
          <w:tcPr/>
          <w:p>
            <w:pPr>
              <w:pStyle w:val="Compact"/>
            </w:pPr>
            <w:r>
              <w:t xml:space="preserve">0.25</w:t>
            </w:r>
          </w:p>
        </w:tc>
      </w:tr>
    </w:tbl>
    <w:p>
      <w:pPr>
        <w:pStyle w:val="BodyText"/>
      </w:pPr>
      <w:r>
        <w:rPr>
          <w:i/>
          <w:iCs/>
        </w:rPr>
        <w:t xml:space="preserve">Note.</w:t>
      </w:r>
      <w:r>
        <w:t xml:space="preserve"> </w:t>
      </w:r>
      <w:r>
        <w:t xml:space="preserve">Calibration of pre-milestone (ages 13–14) competition volume as a prospective early-warning indicator, applicable at the end of an athlete’s age-14 season — before the qualification window opens. PPV is the proportion of flagged athletes who subsequently failed to retain senior activity. PPV remains ≥ 0.93 across thresholds; the choice trades sensitivity for cohort coverage. The high PPV partly reflects the population’s high base-rate of non-retention (84%); the behavioral threshold improves precision by 9–12 percentage points over base-rate prediction while providing graduated sensitivity that base-rate prediction does not.</w:t>
      </w:r>
    </w:p>
    <w:p>
      <w:r>
        <w:pict>
          <v:rect style="width:0;height:1.5pt" o:hralign="center" o:hrstd="t" o:hr="t"/>
        </w:pict>
      </w:r>
    </w:p>
    <w:bookmarkEnd w:id="59"/>
    <w:bookmarkStart w:id="60"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60"/>
    <w:bookmarkStart w:id="61"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was the dominant prospective predictor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Specialization (higher HHI in baseline events) is protective in our data, a finding that runs against the international diversification literature for elite peak performance.</w:t>
      </w:r>
    </w:p>
    <w:p>
      <w:r>
        <w:pict>
          <v:rect style="width:0;height:1.5pt" o:hralign="center" o:hrstd="t" o:hr="t"/>
        </w:pict>
      </w:r>
    </w:p>
    <w:bookmarkEnd w:id="61"/>
    <w:bookmarkStart w:id="62" w:name="discussion"/>
    <w:p>
      <w:pPr>
        <w:pStyle w:val="Heading2"/>
      </w:pPr>
      <w:r>
        <w:t xml:space="preserve">4. Discussion</w:t>
      </w:r>
    </w:p>
    <w:bookmarkEnd w:id="62"/>
    <w:bookmarkStart w:id="63"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63"/>
    <w:bookmarkStart w:id="64" w:name="X2907cacc9dc4ed31787261dbff099a7ab57dc46"/>
    <w:p>
      <w:pPr>
        <w:pStyle w:val="Heading2"/>
      </w:pPr>
      <w:r>
        <w:t xml:space="preserve">4.2 Behavior beats performance even in time-aligned comparison</w:t>
      </w:r>
    </w:p>
    <w:p>
      <w:pPr>
        <w:pStyle w:val="FirstParagraph"/>
      </w:pPr>
      <w:r>
        <w:t xml:space="preserve">A central observation is that behavior, measured by registered competition count, out-predicts performance,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essentially nothing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The choice variable is what subsequently dropout cascades from.</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64"/>
    <w:bookmarkStart w:id="65"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65"/>
    <w:bookmarkStart w:id="66"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66"/>
    <w:bookmarkStart w:id="67"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67"/>
    <w:bookmarkStart w:id="68"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68"/>
    <w:bookmarkStart w:id="69"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69"/>
    <w:bookmarkStart w:id="70"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70"/>
    <w:bookmarkStart w:id="71"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71"/>
    <w:bookmarkStart w:id="72"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72"/>
    <w:bookmarkStart w:id="73"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73"/>
    <w:bookmarkStart w:id="74"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2026-05-18T14:54:56Z</dcterms:created>
  <dcterms:modified xsi:type="dcterms:W3CDTF">2026-05-18T14:54:56Z</dcterms:modified>
</cp:coreProperties>
</file>

<file path=docProps/custom.xml><?xml version="1.0" encoding="utf-8"?>
<Properties xmlns="http://schemas.openxmlformats.org/officeDocument/2006/custom-properties" xmlns:vt="http://schemas.openxmlformats.org/officeDocument/2006/docPropsVTypes"/>
</file>