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w:t>
      </w:r>
      <w:r>
        <w:t xml:space="preserve"> </w:t>
      </w:r>
      <w:r>
        <w:rPr>
          <w:rStyle w:val="Revised"/>
        </w:rPr>
        <w:t xml:space="preserve">at the baseline meet (which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r>
        <w:rPr>
          <w:rStyle w:val="Revised"/>
        </w:rPr>
        <w:t xml:space="preserve">; among athletes still competing at 14, volume at 14 gave a similar estimate (OR = 2.05 per SD; Table 4, M1)</w:t>
      </w:r>
      <w:r>
        <w:t xml:space="preserve">.</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model was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2.07, 2.04 [1.75, 2.39] and 2.03; Supplementary Table S22)</w:t>
      </w:r>
      <w:r>
        <w:rPr>
          <w:rStyle w:val="Revised"/>
        </w:rPr>
        <w:t xml:space="preserve">, and folds grouped by club gave the same cross-validated AUC (0.766; Supplementary Table S26)</w:t>
      </w:r>
      <w:r>
        <w:t xml:space="preserve">: the association holds</w:t>
      </w:r>
      <w:r>
        <w:t xml:space="preserve"> </w:t>
      </w:r>
      <w:r>
        <w:rPr>
          <w:rStyle w:val="Revised"/>
        </w:rPr>
        <w:t xml:space="preserve">after accounting for club membership 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 both predict retention</w:t>
      </w:r>
      <w:r>
        <w:rPr>
          <w:b/>
          <w:bCs/>
        </w:rPr>
        <w:t xml:space="preserve">.</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w:t>
      </w:r>
      <w:r>
        <w:t xml:space="preserve"> </w:t>
      </w:r>
      <w:r>
        <w:rPr>
          <w:rStyle w:val="Revised"/>
        </w:rPr>
        <w:t xml:space="preserve">both predicted retention</w:t>
      </w:r>
      <w:r>
        <w:t xml:space="preserve"> </w:t>
      </w:r>
      <w:r>
        <w:t xml:space="preserve">(both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r>
        <w:t xml:space="preserve"> </w:t>
      </w:r>
      <w:r>
        <w:rPr>
          <w:rStyle w:val="Revised"/>
        </w:rPr>
        <w:t xml:space="preserve">Equivalently, volume at 14 added nothing once volume at 15 was known (OR = 0.98 per meet, 95% CI 0.95–1.00; Table 4 note).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among athletes still competing at age 16 (≥2 results; n =</w:t>
      </w:r>
      <w:r>
        <w:t xml:space="preserve"> </w:t>
      </w:r>
      <w:r>
        <w:rPr>
          <w:rStyle w:val="Revised"/>
        </w:rPr>
        <w:t xml:space="preserve">1,088, of whom 269 had their final active season at 16</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0.71</w:t>
      </w:r>
      <w:r>
        <w:t xml:space="preserve"> </w:t>
      </w:r>
      <w:r>
        <w:t xml:space="preserve">per SD, 95% CI</w:t>
      </w:r>
      <w:r>
        <w:t xml:space="preserve"> </w:t>
      </w:r>
      <w:r>
        <w:rPr>
          <w:rStyle w:val="Revised"/>
        </w:rPr>
        <w:t xml:space="preserve">[0.65, 0.78]</w:t>
      </w:r>
      <w:r>
        <w:t xml:space="preserve">, C-index =</w:t>
      </w:r>
      <w:r>
        <w:t xml:space="preserve"> </w:t>
      </w:r>
      <w:r>
        <w:rPr>
          <w:rStyle w:val="Revised"/>
        </w:rPr>
        <w:t xml:space="preserve">0.696</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more clearly in Cohort B (1.32 [1.10, 1.60]) than in Cohort A (1.07 [0.90, 1.28]; cohort difference</w:t>
      </w:r>
      <w:r>
        <w:rPr>
          <w:rStyle w:val="Revised"/>
        </w:rPr>
        <w:t xml:space="preserve"> </w:t>
      </w:r>
      <w:r>
        <w:rPr>
          <w:rStyle w:val="Revised"/>
          <w:i/>
          <w:iCs/>
        </w:rPr>
        <w:t xml:space="preserve">p</w:t>
      </w:r>
      <w:r>
        <w:rPr>
          <w:rStyle w:val="Revised"/>
        </w:rPr>
        <w:t xml:space="preserve"> </w:t>
      </w:r>
      <w:r>
        <w:rPr>
          <w:rStyle w:val="Revised"/>
        </w:rPr>
        <w:t xml:space="preserve">= .11), without gain in discrimination (ΔAUC = −0.002 without volume and 0.004 [−0.003, 0.010] with it), and not once performance in the athlete’s main event category was controlled (1.07 [0.94, 1.23]; Supplementary Table S18); Cox models with volume agree (HR = 0.91 per SD; Supplementary Tables S10, S16)</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at the baseline meet,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Dropouts typically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w:t>
      </w:r>
      <w:r>
        <w:t xml:space="preserve"> </w:t>
      </w:r>
      <w:r>
        <w:rPr>
          <w:rStyle w:val="Revised"/>
        </w:rPr>
        <w:t xml:space="preserve">over two seasons</w:t>
      </w:r>
      <w:r>
        <w:t xml:space="preserve"> </w:t>
      </w:r>
      <w:r>
        <w:t xml:space="preserve">while Tyrving is a scored maximum</w:t>
      </w:r>
      <w:r>
        <w:t xml:space="preserve"> </w:t>
      </w:r>
      <w:r>
        <w:rPr>
          <w:rStyle w:val="Revised"/>
        </w:rPr>
        <w:t xml:space="preserve">from a single meet, with norms that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w:t>
      </w:r>
      <w:r>
        <w:t xml:space="preserve"> </w:t>
      </w:r>
      <w:r>
        <w:rPr>
          <w:rStyle w:val="Revised"/>
        </w:rPr>
        <w:t xml:space="preserve">early level and later change both predicted retention, also among athletes still active at 16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w:t>
      </w:r>
      <w:r>
        <w:t xml:space="preserve"> </w:t>
      </w:r>
      <w:r>
        <w:rPr>
          <w:rStyle w:val="Revised"/>
        </w:rPr>
        <w:t xml:space="preserve">volume association</w:t>
      </w:r>
      <w:r>
        <w:t xml:space="preserve"> </w:t>
      </w:r>
      <w:r>
        <w:t xml:space="preserve">itself was similar across sexes (milestone-window volume HR =</w:t>
      </w:r>
      <w:r>
        <w:t xml:space="preserve"> </w:t>
      </w:r>
      <w:r>
        <w:rPr>
          <w:rStyle w:val="Revised"/>
        </w:rPr>
        <w:t xml:space="preserve">0.49</w:t>
      </w:r>
      <w:r>
        <w:t xml:space="preserve"> </w:t>
      </w:r>
      <w:r>
        <w:t xml:space="preserve">for males and</w:t>
      </w:r>
      <w:r>
        <w:t xml:space="preserve"> </w:t>
      </w:r>
      <w:r>
        <w:rPr>
          <w:rStyle w:val="Revised"/>
        </w:rPr>
        <w:t xml:space="preserve">0.48</w:t>
      </w:r>
      <w:r>
        <w:t xml:space="preserve"> </w:t>
      </w:r>
      <w:r>
        <w:t xml:space="preserve">for females; Supplementary Table S7), so the residual sex</w:t>
      </w:r>
      <w:r>
        <w:t xml:space="preserve"> </w:t>
      </w:r>
      <w:r>
        <w:rPr>
          <w:rStyle w:val="Revised"/>
        </w:rPr>
        <w:t xml:space="preserve">difference lies in the level of retention, not in how volume relates to it</w:t>
      </w:r>
      <w:r>
        <w:t xml:space="preserve">.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w:t>
      </w:r>
      <w:r>
        <w:t xml:space="preserve"> </w:t>
      </w:r>
      <w:r>
        <w:rPr>
          <w:rStyle w:val="Revised"/>
        </w:rPr>
        <w:t xml:space="preserve">has competed (cohort entry guarantees a baseline meet), though 29% had no result at 14,</w:t>
      </w:r>
      <w:r>
        <w:t xml:space="preserve"> </w:t>
      </w:r>
      <w:r>
        <w:t xml:space="preserve">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rPr>
          <w:rStyle w:val="Revised"/>
        </w:rPr>
        <w:t xml:space="preserve">A decline shows as lower later volume (Section 3.5): screen at the end of age 14 and again at the end of age 15,</w:t>
      </w:r>
      <w:r>
        <w:t xml:space="preserve"> </w:t>
      </w:r>
      <w:r>
        <w:t xml:space="preserve">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264.3</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w:t>
      </w:r>
      <w:r>
        <w:t xml:space="preserve"> </w:t>
      </w:r>
      <w:r>
        <w:rPr>
          <w:rStyle w:val="Revised"/>
        </w:rPr>
        <w:t xml:space="preserve">(&lt; 10 meets at ages 13–14)</w:t>
      </w:r>
      <w:r>
        <w:t xml:space="preserve">,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 both carry information,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w:t>
      </w:r>
      <w:r>
        <w:t xml:space="preserve"> </w:t>
      </w:r>
      <w:r>
        <w:t xml:space="preserve">level</w:t>
      </w:r>
      <w:r>
        <w:t xml:space="preserve"> </w:t>
      </w:r>
      <w:r>
        <w:rPr>
          <w:rStyle w:val="Revised"/>
        </w:rPr>
        <w:t xml:space="preserve">form, volume at 14 added nothing once volume at 15 was known (OR = 0.98 per meet [0.95, 1.00]): the change term carries the information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rPr>
                <w:rStyle w:val="Revised"/>
              </w:rPr>
              <w:t xml:space="preserve">0.14 [0.12, 0.17]</w:t>
            </w:r>
          </w:p>
        </w:tc>
        <w:tc>
          <w:tcPr/>
          <w:p>
            <w:pPr>
              <w:pStyle w:val="Compact"/>
            </w:pPr>
            <w:r>
              <w:rPr>
                <w:rStyle w:val="Revised"/>
              </w:rPr>
              <w:t xml:space="preserve">0.74 [0.66, 0.84]</w:t>
            </w:r>
          </w:p>
        </w:tc>
        <w:tc>
          <w:tcPr/>
          <w:p>
            <w:pPr>
              <w:pStyle w:val="Compact"/>
            </w:pPr>
            <w:r>
              <w:rPr>
                <w:rStyle w:val="Revised"/>
              </w:rPr>
              <w:t xml:space="preserve">1.01 [0.84, 1.21]</w:t>
            </w:r>
          </w:p>
        </w:tc>
      </w:tr>
      <w:tr>
        <w:tc>
          <w:tcPr/>
          <w:p>
            <w:pPr>
              <w:pStyle w:val="Compact"/>
            </w:pPr>
            <w:r>
              <w:t xml:space="preserve">Championship types (count)</w:t>
            </w:r>
          </w:p>
        </w:tc>
        <w:tc>
          <w:tcPr/>
          <w:p>
            <w:pPr>
              <w:pStyle w:val="Compact"/>
            </w:pPr>
            <w:r>
              <w:rPr>
                <w:rStyle w:val="Revised"/>
              </w:rPr>
              <w:t xml:space="preserve">0.78 [0.71, 0.86]</w:t>
            </w:r>
          </w:p>
        </w:tc>
        <w:tc>
          <w:tcPr/>
          <w:p>
            <w:pPr>
              <w:pStyle w:val="Compact"/>
            </w:pPr>
            <w:r>
              <w:rPr>
                <w:rStyle w:val="Revised"/>
              </w:rPr>
              <w:t xml:space="preserve">0.84 [0.74, 0.96]</w:t>
            </w:r>
          </w:p>
        </w:tc>
        <w:tc>
          <w:tcPr/>
          <w:p>
            <w:pPr>
              <w:pStyle w:val="Compact"/>
            </w:pPr>
            <w:r>
              <w:rPr>
                <w:rStyle w:val="Revised"/>
              </w:rPr>
              <w:t xml:space="preserve">0.68 [0.54, 0.85]</w:t>
            </w:r>
          </w:p>
        </w:tc>
      </w:tr>
      <w:tr>
        <w:tc>
          <w:tcPr/>
          <w:p>
            <w:pPr>
              <w:pStyle w:val="Compact"/>
            </w:pPr>
            <w:r>
              <w:t xml:space="preserve">Tyrving (z)</w:t>
            </w:r>
          </w:p>
        </w:tc>
        <w:tc>
          <w:tcPr/>
          <w:p>
            <w:pPr>
              <w:pStyle w:val="Compact"/>
            </w:pPr>
            <w:r>
              <w:rPr>
                <w:rStyle w:val="Revised"/>
              </w:rPr>
              <w:t xml:space="preserve">0.93 [0.88, 0.98]</w:t>
            </w:r>
          </w:p>
        </w:tc>
        <w:tc>
          <w:tcPr/>
          <w:p>
            <w:pPr>
              <w:pStyle w:val="Compact"/>
            </w:pPr>
            <w:r>
              <w:rPr>
                <w:rStyle w:val="Revised"/>
              </w:rPr>
              <w:t xml:space="preserve">0.87 [0.78, 0.96]</w:t>
            </w:r>
          </w:p>
        </w:tc>
        <w:tc>
          <w:tcPr/>
          <w:p>
            <w:pPr>
              <w:pStyle w:val="Compact"/>
            </w:pPr>
            <w:r>
              <w:rPr>
                <w:rStyle w:val="Revised"/>
              </w:rPr>
              <w:t xml:space="preserve">1.09 [0.89, 1.34]</w:t>
            </w:r>
          </w:p>
        </w:tc>
      </w:tr>
      <w:tr>
        <w:tc>
          <w:tcPr/>
          <w:p>
            <w:pPr>
              <w:pStyle w:val="Compact"/>
            </w:pPr>
            <w:r>
              <w:rPr>
                <w:rStyle w:val="Revised"/>
              </w:rPr>
              <w:t xml:space="preserve">HHI, ages 13–14 (z)</w:t>
            </w:r>
          </w:p>
        </w:tc>
        <w:tc>
          <w:tcPr/>
          <w:p>
            <w:pPr>
              <w:pStyle w:val="Compact"/>
            </w:pPr>
            <w:r>
              <w:rPr>
                <w:rStyle w:val="Revised"/>
              </w:rPr>
              <w:t xml:space="preserve">1.03 [0.97, 1.08]</w:t>
            </w:r>
          </w:p>
        </w:tc>
        <w:tc>
          <w:tcPr/>
          <w:p>
            <w:pPr>
              <w:pStyle w:val="Compact"/>
            </w:pPr>
            <w:r>
              <w:rPr>
                <w:rStyle w:val="Revised"/>
              </w:rPr>
              <w:t xml:space="preserve">0.90 [0.82, 1.00]</w:t>
            </w:r>
          </w:p>
        </w:tc>
        <w:tc>
          <w:tcPr/>
          <w:p>
            <w:pPr>
              <w:pStyle w:val="Compact"/>
            </w:pPr>
            <w:r>
              <w:rPr>
                <w:rStyle w:val="Revised"/>
              </w:rPr>
              <w:t xml:space="preserve">0.99 [0.85, 1.14]</w:t>
            </w:r>
          </w:p>
        </w:tc>
      </w:tr>
      <w:tr>
        <w:tc>
          <w:tcPr/>
          <w:p>
            <w:pPr>
              <w:pStyle w:val="Compact"/>
            </w:pPr>
            <w:r>
              <w:t xml:space="preserve">Female</w:t>
            </w:r>
          </w:p>
        </w:tc>
        <w:tc>
          <w:tcPr/>
          <w:p>
            <w:pPr>
              <w:pStyle w:val="Compact"/>
            </w:pPr>
            <w:r>
              <w:rPr>
                <w:rStyle w:val="Revised"/>
              </w:rPr>
              <w:t xml:space="preserve">1.06 [0.95, 1.19]</w:t>
            </w:r>
          </w:p>
        </w:tc>
        <w:tc>
          <w:tcPr/>
          <w:p>
            <w:pPr>
              <w:pStyle w:val="Compact"/>
            </w:pPr>
            <w:r>
              <w:rPr>
                <w:rStyle w:val="Revised"/>
              </w:rPr>
              <w:t xml:space="preserve">1.49 [1.24, 1.80]</w:t>
            </w:r>
          </w:p>
        </w:tc>
        <w:tc>
          <w:tcPr/>
          <w:p>
            <w:pPr>
              <w:pStyle w:val="Compact"/>
            </w:pPr>
            <w:r>
              <w:rPr>
                <w:rStyle w:val="Revised"/>
              </w:rPr>
              <w:t xml:space="preserve">1.05 [0.77, 1.43]</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0.664</w:t>
            </w:r>
          </w:p>
        </w:tc>
        <w:tc>
          <w:tcPr/>
          <w:p>
            <w:pPr>
              <w:pStyle w:val="Compact"/>
            </w:pPr>
            <w:r>
              <w:rPr>
                <w:rStyle w:val="Revised"/>
              </w:rPr>
              <w:t xml:space="preserve">0.596</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were still active at the end of its curve (11 years) and 0.8% reached active senior status.</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2026-10-03T12:53:11Z</dcterms:created>
  <dcterms:modified xsi:type="dcterms:W3CDTF">2026-10-03T12:53:11Z</dcterms:modified>
</cp:coreProperties>
</file>

<file path=docProps/custom.xml><?xml version="1.0" encoding="utf-8"?>
<Properties xmlns="http://schemas.openxmlformats.org/officeDocument/2006/custom-properties" xmlns:vt="http://schemas.openxmlformats.org/officeDocument/2006/docPropsVTypes"/>
</file>