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Título: Ninguém Fracassa por Falta de Sonhos, Mas Sim por Falta de Preparo Emocional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Entenda por que o preparo emocional é a chave para vencer seus maiores desafios pessoais e profissionais.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Ninguém fracassa por falta de sonhos. As pessoas fracassam porque não estão preparadas emocionalmente para encarar seus desafios. Muitos preferem ignorar essa verdade e acreditar apenas no poder das metas altas e grandes sonhos.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que muitos recuam diante dos desafios?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Todos têm sonhos grandes, objetivos ousados, mas quando a vida coloca um desafio gigante à frente, muitos recuam. Lembre-se da clássica história de Davi e Golias: todo mundo conhece o resultado, mas poucos param para refletir sobre o motivo real da vitória.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verdade sobre a vitória de Davi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Davi não derrotou Golias apenas por fé ou coragem. Ele venceu porque estava preparado. Antes daquele confronto, já havia enfrentado leões e ursos sozinho, longe dos holofotes. Enquanto outros tremiam diante do gigante, Davi já tinha uma estrutura emocional sólida, construída no anonimato.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Quantos Golias você já enfrentou?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Pense agora nas oportunidades que você já teve e não aproveitou: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Uma entrevista decisiva.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Uma grande oportunidade de negócio.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Aquela venda importante que travou na hora.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mudança de carreira que você adiou.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 fez você travar não foi falta de vontade, mas falta de preparo emocional para lidar com o peso da responsabilidade e do desafio.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que motivação não é suficiente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não vai vencer seu Golias se continuar usando as mesmas armas pequenas. Frases motivacionais, livros bonitos e vídeos inspiradores não bastam quando o gigante estiver diante de você. É preciso algo mais sólido, um preparo emocional verdadeiro.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dura realidade das pequenas vitórias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Infelizmente, muitos seguirão pela vida colecionando apenas pequenas vitórias, evitando as grandes batalhas que realmente importam. Acertar tarefas simples é fácil, mas são as grandes batalhas que definem sua vida e seu futuro.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Chegou a hora de construir sua musculatura mental e emocional. Você está pronto para deixar as pequenas batalhas para trás e começar a vencer os gigantes da sua vida?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Clique aqui e comece a se preparar emocionalmente para as grandes vitórias que realmente importam!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