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D68C5" w:rsidRPr="001D68C5" w:rsidRDefault="001D68C5" w:rsidP="001D68C5">
      <w:r w:rsidRPr="001D68C5">
        <w:rPr>
          <w:b/>
          <w:bCs/>
        </w:rPr>
        <w:t>Comprehensive Analysis Report on District-Wide Standardized Test Results</w:t>
      </w:r>
      <w:r w:rsidR="00465EB1">
        <w:rPr>
          <w:b/>
          <w:bCs/>
        </w:rPr>
        <w:t xml:space="preserve"> Based on Schools</w:t>
      </w:r>
    </w:p>
    <w:p w:rsidR="001D68C5" w:rsidRPr="001D68C5" w:rsidRDefault="001D68C5" w:rsidP="001D68C5"/>
    <w:p w:rsidR="001D68C5" w:rsidRPr="001D68C5" w:rsidRDefault="001D68C5" w:rsidP="001D68C5">
      <w:r w:rsidRPr="001D68C5">
        <w:rPr>
          <w:b/>
          <w:bCs/>
        </w:rPr>
        <w:t>Prepared by:</w:t>
      </w:r>
      <w:r w:rsidRPr="001D68C5">
        <w:t xml:space="preserve"> </w:t>
      </w:r>
      <w:proofErr w:type="spellStart"/>
      <w:r>
        <w:t>Atnafu</w:t>
      </w:r>
      <w:proofErr w:type="spellEnd"/>
      <w:r>
        <w:t xml:space="preserve"> </w:t>
      </w:r>
      <w:proofErr w:type="spellStart"/>
      <w:r>
        <w:t>Ayalew</w:t>
      </w:r>
      <w:proofErr w:type="spellEnd"/>
    </w:p>
    <w:p w:rsidR="001D68C5" w:rsidRPr="001D68C5" w:rsidRDefault="001D68C5" w:rsidP="001D68C5">
      <w:r w:rsidRPr="001D68C5">
        <w:rPr>
          <w:b/>
          <w:bCs/>
        </w:rPr>
        <w:t>Date:</w:t>
      </w:r>
      <w:r w:rsidRPr="001D68C5">
        <w:t xml:space="preserve"> </w:t>
      </w:r>
      <w:r>
        <w:t>November 12, 2024</w:t>
      </w:r>
    </w:p>
    <w:p w:rsidR="001D68C5" w:rsidRPr="001D68C5" w:rsidRDefault="001D68C5" w:rsidP="001D68C5"/>
    <w:p w:rsidR="001D68C5" w:rsidRPr="001D68C5" w:rsidRDefault="001D68C5" w:rsidP="001D68C5">
      <w:r w:rsidRPr="001D68C5">
        <w:rPr>
          <w:b/>
          <w:bCs/>
        </w:rPr>
        <w:t>Overview</w:t>
      </w:r>
    </w:p>
    <w:p w:rsidR="001D68C5" w:rsidRPr="001D68C5" w:rsidRDefault="001D68C5" w:rsidP="001D68C5"/>
    <w:p w:rsidR="001D68C5" w:rsidRPr="001D68C5" w:rsidRDefault="001D68C5" w:rsidP="001D68C5">
      <w:r w:rsidRPr="001D68C5">
        <w:t>This report offers a comprehensive analysis of district-wide standardized test results to inform strategic planning, budgeting, and improvement initiatives for schools across the district. Focusing on performance metrics, such as average math and reading scores, passing rates, and per-student funding, the report compares charter and district school performances. Additionally, it highlights the highest- and lowest-performing schools to identify effective practices and areas requiring support.</w:t>
      </w:r>
    </w:p>
    <w:p w:rsidR="001D68C5" w:rsidRPr="001D68C5" w:rsidRDefault="001D68C5" w:rsidP="001D68C5"/>
    <w:p w:rsidR="001D68C5" w:rsidRPr="001D68C5" w:rsidRDefault="001D68C5" w:rsidP="001D68C5">
      <w:r w:rsidRPr="001D68C5">
        <w:rPr>
          <w:b/>
          <w:bCs/>
        </w:rPr>
        <w:t>Objectives</w:t>
      </w:r>
    </w:p>
    <w:p w:rsidR="001D68C5" w:rsidRPr="001D68C5" w:rsidRDefault="001D68C5" w:rsidP="001D68C5"/>
    <w:p w:rsidR="001D68C5" w:rsidRPr="001D68C5" w:rsidRDefault="001D68C5" w:rsidP="001D68C5">
      <w:r w:rsidRPr="001D68C5">
        <w:t>The primary objectives of this analysis are to:</w:t>
      </w:r>
    </w:p>
    <w:p w:rsidR="001D68C5" w:rsidRPr="001D68C5" w:rsidRDefault="001D68C5" w:rsidP="001D68C5">
      <w:pPr>
        <w:pStyle w:val="ListParagraph"/>
        <w:numPr>
          <w:ilvl w:val="0"/>
          <w:numId w:val="1"/>
        </w:numPr>
      </w:pPr>
      <w:r w:rsidRPr="001D68C5">
        <w:t>Assess school performance through average math and reading scores.</w:t>
      </w:r>
    </w:p>
    <w:p w:rsidR="001D68C5" w:rsidRPr="001D68C5" w:rsidRDefault="001D68C5" w:rsidP="001D68C5">
      <w:pPr>
        <w:pStyle w:val="ListParagraph"/>
        <w:numPr>
          <w:ilvl w:val="0"/>
          <w:numId w:val="1"/>
        </w:numPr>
      </w:pPr>
      <w:r w:rsidRPr="001D68C5">
        <w:t>Identify the percentage of students meeting passing criteria on standardized tests.</w:t>
      </w:r>
    </w:p>
    <w:p w:rsidR="001D68C5" w:rsidRPr="001D68C5" w:rsidRDefault="001D68C5" w:rsidP="001D68C5">
      <w:pPr>
        <w:pStyle w:val="ListParagraph"/>
        <w:numPr>
          <w:ilvl w:val="0"/>
          <w:numId w:val="1"/>
        </w:numPr>
      </w:pPr>
      <w:r w:rsidRPr="001D68C5">
        <w:t>Prioritize schools for resource allocation based on performance trends.</w:t>
      </w:r>
    </w:p>
    <w:p w:rsidR="001D68C5" w:rsidRPr="001D68C5" w:rsidRDefault="001D68C5" w:rsidP="001D68C5"/>
    <w:p w:rsidR="001D68C5" w:rsidRPr="001D68C5" w:rsidRDefault="001D68C5" w:rsidP="001D68C5">
      <w:r w:rsidRPr="001D68C5">
        <w:rPr>
          <w:b/>
          <w:bCs/>
        </w:rPr>
        <w:t>Key Data Overview</w:t>
      </w:r>
    </w:p>
    <w:p w:rsidR="001D68C5" w:rsidRPr="001D68C5" w:rsidRDefault="001D68C5" w:rsidP="001D68C5"/>
    <w:p w:rsidR="001D68C5" w:rsidRPr="001D68C5" w:rsidRDefault="001D68C5" w:rsidP="001D68C5">
      <w:r w:rsidRPr="001D68C5">
        <w:rPr>
          <w:b/>
          <w:bCs/>
        </w:rPr>
        <w:t>District Summary</w:t>
      </w:r>
    </w:p>
    <w:p w:rsidR="001D68C5" w:rsidRPr="001D68C5" w:rsidRDefault="001D68C5" w:rsidP="001D68C5">
      <w:r w:rsidRPr="001D68C5">
        <w:tab/>
        <w:t>•</w:t>
      </w:r>
      <w:r w:rsidRPr="001D68C5">
        <w:tab/>
      </w:r>
      <w:r w:rsidRPr="001D68C5">
        <w:rPr>
          <w:b/>
          <w:bCs/>
        </w:rPr>
        <w:t>Total Schools:</w:t>
      </w:r>
      <w:r w:rsidRPr="001D68C5">
        <w:t xml:space="preserve"> 15</w:t>
      </w:r>
    </w:p>
    <w:p w:rsidR="001D68C5" w:rsidRPr="001D68C5" w:rsidRDefault="001D68C5" w:rsidP="001D68C5">
      <w:r w:rsidRPr="001D68C5">
        <w:tab/>
        <w:t>•</w:t>
      </w:r>
      <w:r w:rsidRPr="001D68C5">
        <w:tab/>
      </w:r>
      <w:r w:rsidRPr="001D68C5">
        <w:rPr>
          <w:b/>
          <w:bCs/>
        </w:rPr>
        <w:t>Total Students:</w:t>
      </w:r>
      <w:r w:rsidRPr="001D68C5">
        <w:t xml:space="preserve"> 39,170</w:t>
      </w:r>
    </w:p>
    <w:p w:rsidR="001D68C5" w:rsidRPr="001D68C5" w:rsidRDefault="001D68C5" w:rsidP="001D68C5">
      <w:r w:rsidRPr="001D68C5">
        <w:tab/>
        <w:t>•</w:t>
      </w:r>
      <w:r w:rsidRPr="001D68C5">
        <w:tab/>
      </w:r>
      <w:r w:rsidRPr="001D68C5">
        <w:rPr>
          <w:b/>
          <w:bCs/>
        </w:rPr>
        <w:t>Total Budget:</w:t>
      </w:r>
      <w:r w:rsidRPr="001D68C5">
        <w:t xml:space="preserve"> $24,649,428</w:t>
      </w:r>
    </w:p>
    <w:p w:rsidR="001D68C5" w:rsidRPr="001D68C5" w:rsidRDefault="001D68C5" w:rsidP="001D68C5">
      <w:r w:rsidRPr="001D68C5">
        <w:tab/>
        <w:t>•</w:t>
      </w:r>
      <w:r w:rsidRPr="001D68C5">
        <w:tab/>
      </w:r>
      <w:r w:rsidRPr="001D68C5">
        <w:rPr>
          <w:b/>
          <w:bCs/>
        </w:rPr>
        <w:t>Average Math Score:</w:t>
      </w:r>
      <w:r w:rsidRPr="001D68C5">
        <w:t xml:space="preserve"> 78.99</w:t>
      </w:r>
    </w:p>
    <w:p w:rsidR="001D68C5" w:rsidRPr="001D68C5" w:rsidRDefault="001D68C5" w:rsidP="001D68C5">
      <w:r w:rsidRPr="001D68C5">
        <w:tab/>
        <w:t>•</w:t>
      </w:r>
      <w:r w:rsidRPr="001D68C5">
        <w:tab/>
      </w:r>
      <w:r w:rsidRPr="001D68C5">
        <w:rPr>
          <w:b/>
          <w:bCs/>
        </w:rPr>
        <w:t>Average Reading Score:</w:t>
      </w:r>
      <w:r w:rsidRPr="001D68C5">
        <w:t xml:space="preserve"> 81.88</w:t>
      </w:r>
    </w:p>
    <w:p w:rsidR="001D68C5" w:rsidRPr="001D68C5" w:rsidRDefault="001D68C5" w:rsidP="001D68C5">
      <w:r w:rsidRPr="001D68C5">
        <w:tab/>
        <w:t>•</w:t>
      </w:r>
      <w:r w:rsidRPr="001D68C5">
        <w:tab/>
      </w:r>
      <w:r w:rsidRPr="001D68C5">
        <w:rPr>
          <w:b/>
          <w:bCs/>
        </w:rPr>
        <w:t>Percentage Passing Math:</w:t>
      </w:r>
      <w:r w:rsidRPr="001D68C5">
        <w:t xml:space="preserve"> 74.98%</w:t>
      </w:r>
    </w:p>
    <w:p w:rsidR="001D68C5" w:rsidRPr="001D68C5" w:rsidRDefault="001D68C5" w:rsidP="001D68C5">
      <w:r w:rsidRPr="001D68C5">
        <w:tab/>
        <w:t>•</w:t>
      </w:r>
      <w:r w:rsidRPr="001D68C5">
        <w:tab/>
      </w:r>
      <w:r w:rsidRPr="001D68C5">
        <w:rPr>
          <w:b/>
          <w:bCs/>
        </w:rPr>
        <w:t>Percentage Passing Reading:</w:t>
      </w:r>
      <w:r w:rsidRPr="001D68C5">
        <w:t xml:space="preserve"> 85.81%</w:t>
      </w:r>
    </w:p>
    <w:p w:rsidR="001D68C5" w:rsidRPr="001D68C5" w:rsidRDefault="001D68C5" w:rsidP="001D68C5">
      <w:r w:rsidRPr="001D68C5">
        <w:tab/>
        <w:t>•</w:t>
      </w:r>
      <w:r w:rsidRPr="001D68C5">
        <w:tab/>
      </w:r>
      <w:r w:rsidRPr="001D68C5">
        <w:rPr>
          <w:b/>
          <w:bCs/>
        </w:rPr>
        <w:t>Overall Passing Rate (Both Subjects):</w:t>
      </w:r>
      <w:r w:rsidRPr="001D68C5">
        <w:t xml:space="preserve"> 65.17%</w:t>
      </w:r>
    </w:p>
    <w:p w:rsidR="001D68C5" w:rsidRPr="001D68C5" w:rsidRDefault="001D68C5" w:rsidP="001D68C5"/>
    <w:p w:rsidR="001D68C5" w:rsidRPr="001D68C5" w:rsidRDefault="001D68C5" w:rsidP="001D68C5">
      <w:r w:rsidRPr="001D68C5">
        <w:t>These figures provide an overview of district-wide student performance and resource allocation, setting a foundation for analyzing trends by school type.</w:t>
      </w:r>
    </w:p>
    <w:p w:rsidR="001D68C5" w:rsidRPr="001D68C5" w:rsidRDefault="001D68C5" w:rsidP="001D68C5"/>
    <w:p w:rsidR="001D68C5" w:rsidRPr="001D68C5" w:rsidRDefault="001D68C5" w:rsidP="001D68C5">
      <w:r w:rsidRPr="001D68C5">
        <w:rPr>
          <w:b/>
          <w:bCs/>
        </w:rPr>
        <w:t>School Summary by Type</w:t>
      </w:r>
    </w:p>
    <w:p w:rsidR="001D68C5" w:rsidRPr="001D68C5" w:rsidRDefault="001D68C5" w:rsidP="001D68C5"/>
    <w:p w:rsidR="001D68C5" w:rsidRPr="001D68C5" w:rsidRDefault="001D68C5" w:rsidP="001D68C5">
      <w:r w:rsidRPr="001D68C5">
        <w:t>The district includes 15 schools, of which:</w:t>
      </w:r>
    </w:p>
    <w:p w:rsidR="001D68C5" w:rsidRPr="001D68C5" w:rsidRDefault="001D68C5" w:rsidP="001D68C5">
      <w:r w:rsidRPr="001D68C5">
        <w:tab/>
        <w:t>•</w:t>
      </w:r>
      <w:r w:rsidRPr="001D68C5">
        <w:tab/>
        <w:t xml:space="preserve">7 are </w:t>
      </w:r>
      <w:r w:rsidRPr="001D68C5">
        <w:rPr>
          <w:b/>
          <w:bCs/>
        </w:rPr>
        <w:t>district</w:t>
      </w:r>
      <w:r w:rsidRPr="001D68C5">
        <w:t xml:space="preserve"> (public) schools.</w:t>
      </w:r>
    </w:p>
    <w:p w:rsidR="001D68C5" w:rsidRPr="001D68C5" w:rsidRDefault="001D68C5" w:rsidP="001D68C5">
      <w:r w:rsidRPr="001D68C5">
        <w:tab/>
        <w:t>•</w:t>
      </w:r>
      <w:r w:rsidRPr="001D68C5">
        <w:tab/>
        <w:t xml:space="preserve">8 are </w:t>
      </w:r>
      <w:r w:rsidRPr="001D68C5">
        <w:rPr>
          <w:b/>
          <w:bCs/>
        </w:rPr>
        <w:t>charter</w:t>
      </w:r>
      <w:r w:rsidRPr="001D68C5">
        <w:t xml:space="preserve"> schools, managed independently.</w:t>
      </w:r>
    </w:p>
    <w:p w:rsidR="001D68C5" w:rsidRPr="001D68C5" w:rsidRDefault="001D68C5" w:rsidP="001D68C5"/>
    <w:p w:rsidR="001D68C5" w:rsidRPr="001D68C5" w:rsidRDefault="003475F1" w:rsidP="001D68C5">
      <w:r>
        <w:rPr>
          <w:b/>
          <w:bCs/>
        </w:rPr>
        <w:lastRenderedPageBreak/>
        <w:br/>
      </w:r>
      <w:r w:rsidR="001D68C5" w:rsidRPr="001D68C5">
        <w:rPr>
          <w:b/>
          <w:bCs/>
        </w:rPr>
        <w:t>Performance Overview: Charter vs. District Schools</w:t>
      </w:r>
    </w:p>
    <w:p w:rsidR="001D68C5" w:rsidRPr="001D68C5" w:rsidRDefault="001D68C5" w:rsidP="001D68C5"/>
    <w:p w:rsidR="001D68C5" w:rsidRPr="001D68C5" w:rsidRDefault="001D68C5" w:rsidP="001D68C5">
      <w:r w:rsidRPr="001D68C5">
        <w:rPr>
          <w:b/>
          <w:bCs/>
        </w:rPr>
        <w:t>Charter Schools</w:t>
      </w:r>
    </w:p>
    <w:p w:rsidR="001D68C5" w:rsidRPr="001D68C5" w:rsidRDefault="001D68C5" w:rsidP="003475F1">
      <w:pPr>
        <w:pStyle w:val="ListParagraph"/>
        <w:numPr>
          <w:ilvl w:val="0"/>
          <w:numId w:val="2"/>
        </w:numPr>
      </w:pPr>
      <w:r w:rsidRPr="001D68C5">
        <w:t>Charter schools generally show higher average scores in both math and reading, with scores ranging from 83 to 84.</w:t>
      </w:r>
    </w:p>
    <w:p w:rsidR="001D68C5" w:rsidRPr="001D68C5" w:rsidRDefault="001D68C5" w:rsidP="003475F1">
      <w:pPr>
        <w:pStyle w:val="ListParagraph"/>
        <w:numPr>
          <w:ilvl w:val="0"/>
          <w:numId w:val="2"/>
        </w:numPr>
      </w:pPr>
      <w:r w:rsidRPr="003475F1">
        <w:rPr>
          <w:b/>
          <w:bCs/>
        </w:rPr>
        <w:t>Passing Rates:</w:t>
      </w:r>
      <w:r w:rsidRPr="001D68C5">
        <w:t xml:space="preserve"> Charter schools maintain high passing rates, with overall rates around or above 90% in both subjects.</w:t>
      </w:r>
    </w:p>
    <w:p w:rsidR="001D68C5" w:rsidRPr="001D68C5" w:rsidRDefault="001D68C5" w:rsidP="001D68C5"/>
    <w:p w:rsidR="001D68C5" w:rsidRPr="001D68C5" w:rsidRDefault="001D68C5" w:rsidP="001D68C5">
      <w:r w:rsidRPr="001D68C5">
        <w:rPr>
          <w:b/>
          <w:bCs/>
        </w:rPr>
        <w:t>District Schools</w:t>
      </w:r>
    </w:p>
    <w:p w:rsidR="001D68C5" w:rsidRPr="001D68C5" w:rsidRDefault="001D68C5" w:rsidP="003475F1">
      <w:pPr>
        <w:pStyle w:val="ListParagraph"/>
        <w:numPr>
          <w:ilvl w:val="0"/>
          <w:numId w:val="3"/>
        </w:numPr>
      </w:pPr>
      <w:r w:rsidRPr="001D68C5">
        <w:t>District schools typically have lower average scores and passing rates, with scores between 76 and 81.</w:t>
      </w:r>
    </w:p>
    <w:p w:rsidR="001D68C5" w:rsidRPr="001D68C5" w:rsidRDefault="001D68C5" w:rsidP="003475F1">
      <w:pPr>
        <w:pStyle w:val="ListParagraph"/>
        <w:numPr>
          <w:ilvl w:val="0"/>
          <w:numId w:val="3"/>
        </w:numPr>
      </w:pPr>
      <w:r w:rsidRPr="003475F1">
        <w:rPr>
          <w:b/>
          <w:bCs/>
        </w:rPr>
        <w:t>Passing Rates:</w:t>
      </w:r>
      <w:r w:rsidRPr="001D68C5">
        <w:t xml:space="preserve"> Passing rates for district schools range from </w:t>
      </w:r>
      <w:r w:rsidRPr="003475F1">
        <w:rPr>
          <w:b/>
          <w:bCs/>
          <w:i/>
          <w:iCs/>
        </w:rPr>
        <w:t>52% to 55%,</w:t>
      </w:r>
      <w:r w:rsidRPr="001D68C5">
        <w:t xml:space="preserve"> indicating challenges in meeting proficiency levels in standardized assessments.</w:t>
      </w:r>
    </w:p>
    <w:p w:rsidR="001D68C5" w:rsidRPr="001D68C5" w:rsidRDefault="001D68C5" w:rsidP="001D68C5"/>
    <w:p w:rsidR="001D68C5" w:rsidRPr="001D68C5" w:rsidRDefault="001D68C5" w:rsidP="001D68C5">
      <w:r w:rsidRPr="001D68C5">
        <w:rPr>
          <w:b/>
          <w:bCs/>
        </w:rPr>
        <w:t xml:space="preserve">Performance Analysis: </w:t>
      </w:r>
      <w:r w:rsidRPr="001D68C5">
        <w:t>Highest- and Lowest-Performing Schools</w:t>
      </w:r>
    </w:p>
    <w:p w:rsidR="001D68C5" w:rsidRPr="001D68C5" w:rsidRDefault="001D68C5" w:rsidP="001D68C5"/>
    <w:p w:rsidR="001D68C5" w:rsidRPr="001D68C5" w:rsidRDefault="001D68C5" w:rsidP="001D68C5">
      <w:r w:rsidRPr="001D68C5">
        <w:t>Identifying the top- and bottom-performing schools offers insight into successful practices and areas needing intervention.</w:t>
      </w:r>
    </w:p>
    <w:p w:rsidR="001D68C5" w:rsidRPr="001D68C5" w:rsidRDefault="001D68C5" w:rsidP="001D68C5"/>
    <w:p w:rsidR="001D68C5" w:rsidRPr="001D68C5" w:rsidRDefault="001D68C5" w:rsidP="001D68C5">
      <w:r w:rsidRPr="001D68C5">
        <w:rPr>
          <w:b/>
          <w:bCs/>
        </w:rPr>
        <w:t>Top 5 Highest-Performing Schools (by % Overall Passing)</w:t>
      </w:r>
    </w:p>
    <w:p w:rsidR="003475F1" w:rsidRDefault="003475F1" w:rsidP="003475F1">
      <w:pPr>
        <w:pStyle w:val="Caption"/>
        <w:keepNext/>
      </w:pPr>
    </w:p>
    <w:tbl>
      <w:tblPr>
        <w:tblStyle w:val="TableGrid"/>
        <w:tblpPr w:leftFromText="180" w:rightFromText="180" w:vertAnchor="text" w:tblpY="1"/>
        <w:tblOverlap w:val="never"/>
        <w:tblW w:w="0" w:type="auto"/>
        <w:tblLook w:val="04A0" w:firstRow="1" w:lastRow="0" w:firstColumn="1" w:lastColumn="0" w:noHBand="0" w:noVBand="1"/>
      </w:tblPr>
      <w:tblGrid>
        <w:gridCol w:w="911"/>
        <w:gridCol w:w="910"/>
        <w:gridCol w:w="921"/>
        <w:gridCol w:w="1148"/>
        <w:gridCol w:w="914"/>
        <w:gridCol w:w="896"/>
        <w:gridCol w:w="915"/>
        <w:gridCol w:w="910"/>
        <w:gridCol w:w="915"/>
        <w:gridCol w:w="910"/>
      </w:tblGrid>
      <w:tr w:rsidR="003475F1" w:rsidTr="003475F1">
        <w:tc>
          <w:tcPr>
            <w:tcW w:w="911"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b/>
                <w:bCs/>
                <w:color w:val="0E0E0E"/>
                <w:kern w:val="0"/>
                <w:sz w:val="16"/>
                <w:szCs w:val="16"/>
              </w:rPr>
              <w:t>School Name</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b/>
                <w:bCs/>
                <w:color w:val="0E0E0E"/>
                <w:kern w:val="0"/>
                <w:sz w:val="16"/>
                <w:szCs w:val="16"/>
              </w:rPr>
              <w:t>Type</w:t>
            </w:r>
          </w:p>
        </w:tc>
        <w:tc>
          <w:tcPr>
            <w:tcW w:w="921"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b/>
                <w:bCs/>
                <w:color w:val="0E0E0E"/>
                <w:kern w:val="0"/>
                <w:sz w:val="16"/>
                <w:szCs w:val="16"/>
              </w:rPr>
              <w:t>Total Students</w:t>
            </w:r>
          </w:p>
        </w:tc>
        <w:tc>
          <w:tcPr>
            <w:tcW w:w="1148"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b/>
                <w:bCs/>
                <w:color w:val="0E0E0E"/>
                <w:kern w:val="0"/>
                <w:sz w:val="16"/>
                <w:szCs w:val="16"/>
              </w:rPr>
              <w:t>Total Budget</w:t>
            </w:r>
          </w:p>
        </w:tc>
        <w:tc>
          <w:tcPr>
            <w:tcW w:w="914"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b/>
                <w:bCs/>
                <w:color w:val="0E0E0E"/>
                <w:kern w:val="0"/>
                <w:sz w:val="16"/>
                <w:szCs w:val="16"/>
              </w:rPr>
              <w:t>Per Student Budget</w:t>
            </w:r>
          </w:p>
        </w:tc>
        <w:tc>
          <w:tcPr>
            <w:tcW w:w="896"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b/>
                <w:bCs/>
                <w:color w:val="0E0E0E"/>
                <w:kern w:val="0"/>
                <w:sz w:val="16"/>
                <w:szCs w:val="16"/>
              </w:rPr>
              <w:t>Avg Math Score</w:t>
            </w:r>
          </w:p>
        </w:tc>
        <w:tc>
          <w:tcPr>
            <w:tcW w:w="915"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b/>
                <w:bCs/>
                <w:color w:val="0E0E0E"/>
                <w:kern w:val="0"/>
                <w:sz w:val="16"/>
                <w:szCs w:val="16"/>
              </w:rPr>
              <w:t>Avg Reading Score</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b/>
                <w:bCs/>
                <w:color w:val="0E0E0E"/>
                <w:kern w:val="0"/>
                <w:sz w:val="16"/>
                <w:szCs w:val="16"/>
              </w:rPr>
              <w:t>% Passing Math</w:t>
            </w:r>
          </w:p>
        </w:tc>
        <w:tc>
          <w:tcPr>
            <w:tcW w:w="915"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b/>
                <w:bCs/>
                <w:color w:val="0E0E0E"/>
                <w:kern w:val="0"/>
                <w:sz w:val="16"/>
                <w:szCs w:val="16"/>
              </w:rPr>
              <w:t>% Passing Reading</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b/>
                <w:bCs/>
                <w:color w:val="0E0E0E"/>
                <w:kern w:val="0"/>
                <w:sz w:val="16"/>
                <w:szCs w:val="16"/>
              </w:rPr>
              <w:t>% Overall Passing</w:t>
            </w:r>
          </w:p>
        </w:tc>
      </w:tr>
      <w:tr w:rsidR="003475F1" w:rsidTr="003475F1">
        <w:tc>
          <w:tcPr>
            <w:tcW w:w="911"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Cabrera High School</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Charter</w:t>
            </w:r>
          </w:p>
        </w:tc>
        <w:tc>
          <w:tcPr>
            <w:tcW w:w="921"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1,858</w:t>
            </w:r>
          </w:p>
        </w:tc>
        <w:tc>
          <w:tcPr>
            <w:tcW w:w="1148"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$1,081,356.00</w:t>
            </w:r>
          </w:p>
        </w:tc>
        <w:tc>
          <w:tcPr>
            <w:tcW w:w="914"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$582.00</w:t>
            </w:r>
          </w:p>
        </w:tc>
        <w:tc>
          <w:tcPr>
            <w:tcW w:w="896"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83.06</w:t>
            </w:r>
          </w:p>
        </w:tc>
        <w:tc>
          <w:tcPr>
            <w:tcW w:w="915"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83.98</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94.13</w:t>
            </w:r>
          </w:p>
        </w:tc>
        <w:tc>
          <w:tcPr>
            <w:tcW w:w="915"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97.04</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91.33</w:t>
            </w:r>
          </w:p>
        </w:tc>
      </w:tr>
      <w:tr w:rsidR="003475F1" w:rsidTr="003475F1">
        <w:tc>
          <w:tcPr>
            <w:tcW w:w="911"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Thomas High School</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Charter</w:t>
            </w:r>
          </w:p>
        </w:tc>
        <w:tc>
          <w:tcPr>
            <w:tcW w:w="921"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1,635</w:t>
            </w:r>
          </w:p>
        </w:tc>
        <w:tc>
          <w:tcPr>
            <w:tcW w:w="1148"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$1,043,130.00</w:t>
            </w:r>
          </w:p>
        </w:tc>
        <w:tc>
          <w:tcPr>
            <w:tcW w:w="914"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$638.00</w:t>
            </w:r>
          </w:p>
        </w:tc>
        <w:tc>
          <w:tcPr>
            <w:tcW w:w="896"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83.42</w:t>
            </w:r>
          </w:p>
        </w:tc>
        <w:tc>
          <w:tcPr>
            <w:tcW w:w="915"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83.85</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93.27</w:t>
            </w:r>
          </w:p>
        </w:tc>
        <w:tc>
          <w:tcPr>
            <w:tcW w:w="915"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97.31</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90.95</w:t>
            </w:r>
          </w:p>
        </w:tc>
      </w:tr>
      <w:tr w:rsidR="003475F1" w:rsidTr="003475F1">
        <w:tc>
          <w:tcPr>
            <w:tcW w:w="911"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Griffin High School</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Charter</w:t>
            </w:r>
          </w:p>
        </w:tc>
        <w:tc>
          <w:tcPr>
            <w:tcW w:w="921"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1,468</w:t>
            </w:r>
          </w:p>
        </w:tc>
        <w:tc>
          <w:tcPr>
            <w:tcW w:w="1148"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$917,500.00</w:t>
            </w:r>
          </w:p>
        </w:tc>
        <w:tc>
          <w:tcPr>
            <w:tcW w:w="914"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$625.00</w:t>
            </w:r>
          </w:p>
        </w:tc>
        <w:tc>
          <w:tcPr>
            <w:tcW w:w="896"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83.35</w:t>
            </w:r>
          </w:p>
        </w:tc>
        <w:tc>
          <w:tcPr>
            <w:tcW w:w="915"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83.82</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93.39</w:t>
            </w:r>
          </w:p>
        </w:tc>
        <w:tc>
          <w:tcPr>
            <w:tcW w:w="915"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97.14</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90.60</w:t>
            </w:r>
          </w:p>
        </w:tc>
      </w:tr>
      <w:tr w:rsidR="003475F1" w:rsidTr="003475F1">
        <w:tc>
          <w:tcPr>
            <w:tcW w:w="911"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Wilson High School</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Charter</w:t>
            </w:r>
          </w:p>
        </w:tc>
        <w:tc>
          <w:tcPr>
            <w:tcW w:w="921"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2,283</w:t>
            </w:r>
          </w:p>
        </w:tc>
        <w:tc>
          <w:tcPr>
            <w:tcW w:w="1148"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$1,319,574.00</w:t>
            </w:r>
          </w:p>
        </w:tc>
        <w:tc>
          <w:tcPr>
            <w:tcW w:w="914"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$578.00</w:t>
            </w:r>
          </w:p>
        </w:tc>
        <w:tc>
          <w:tcPr>
            <w:tcW w:w="896"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83.27</w:t>
            </w:r>
          </w:p>
        </w:tc>
        <w:tc>
          <w:tcPr>
            <w:tcW w:w="915"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83.99</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93.87</w:t>
            </w:r>
          </w:p>
        </w:tc>
        <w:tc>
          <w:tcPr>
            <w:tcW w:w="915"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96.54</w:t>
            </w:r>
          </w:p>
        </w:tc>
        <w:tc>
          <w:tcPr>
            <w:tcW w:w="910" w:type="dxa"/>
          </w:tcPr>
          <w:p w:rsidR="003475F1" w:rsidRPr="003475F1" w:rsidRDefault="003475F1" w:rsidP="003475F1">
            <w:pPr>
              <w:autoSpaceDE w:val="0"/>
              <w:autoSpaceDN w:val="0"/>
              <w:adjustRightInd w:val="0"/>
              <w:spacing w:line="324" w:lineRule="auto"/>
              <w:rPr>
                <w:rFonts w:cstheme="minorHAnsi"/>
                <w:kern w:val="0"/>
                <w:sz w:val="16"/>
                <w:szCs w:val="16"/>
              </w:rPr>
            </w:pPr>
            <w:r w:rsidRPr="003475F1">
              <w:rPr>
                <w:rFonts w:cstheme="minorHAnsi"/>
                <w:color w:val="0E0E0E"/>
                <w:kern w:val="0"/>
                <w:sz w:val="16"/>
                <w:szCs w:val="16"/>
              </w:rPr>
              <w:t>90.58</w:t>
            </w:r>
          </w:p>
        </w:tc>
      </w:tr>
      <w:tr w:rsidR="003475F1" w:rsidTr="003475F1">
        <w:tc>
          <w:tcPr>
            <w:tcW w:w="911" w:type="dxa"/>
          </w:tcPr>
          <w:p w:rsidR="003475F1" w:rsidRPr="003475F1" w:rsidRDefault="003475F1" w:rsidP="003475F1">
            <w:pPr>
              <w:rPr>
                <w:rFonts w:cstheme="minorHAnsi"/>
                <w:kern w:val="0"/>
                <w:sz w:val="16"/>
                <w:szCs w:val="16"/>
              </w:rPr>
            </w:pPr>
            <w:r w:rsidRPr="003475F1">
              <w:rPr>
                <w:rFonts w:cstheme="minorHAnsi"/>
                <w:color w:val="0E0E0E"/>
                <w:kern w:val="0"/>
                <w:sz w:val="16"/>
                <w:szCs w:val="16"/>
              </w:rPr>
              <w:t>Pena High School</w:t>
            </w:r>
          </w:p>
        </w:tc>
        <w:tc>
          <w:tcPr>
            <w:tcW w:w="910" w:type="dxa"/>
          </w:tcPr>
          <w:p w:rsidR="003475F1" w:rsidRPr="003475F1" w:rsidRDefault="003475F1" w:rsidP="003475F1">
            <w:pPr>
              <w:rPr>
                <w:rFonts w:cstheme="minorHAnsi"/>
                <w:kern w:val="0"/>
                <w:sz w:val="16"/>
                <w:szCs w:val="16"/>
              </w:rPr>
            </w:pPr>
            <w:r w:rsidRPr="003475F1">
              <w:rPr>
                <w:rFonts w:cstheme="minorHAnsi"/>
                <w:color w:val="0E0E0E"/>
                <w:kern w:val="0"/>
                <w:sz w:val="16"/>
                <w:szCs w:val="16"/>
              </w:rPr>
              <w:t>Charter</w:t>
            </w:r>
          </w:p>
        </w:tc>
        <w:tc>
          <w:tcPr>
            <w:tcW w:w="921" w:type="dxa"/>
          </w:tcPr>
          <w:p w:rsidR="003475F1" w:rsidRPr="003475F1" w:rsidRDefault="003475F1" w:rsidP="003475F1">
            <w:pPr>
              <w:rPr>
                <w:rFonts w:cstheme="minorHAnsi"/>
                <w:kern w:val="0"/>
                <w:sz w:val="16"/>
                <w:szCs w:val="16"/>
              </w:rPr>
            </w:pPr>
            <w:r w:rsidRPr="003475F1">
              <w:rPr>
                <w:rFonts w:cstheme="minorHAnsi"/>
                <w:color w:val="0E0E0E"/>
                <w:kern w:val="0"/>
                <w:sz w:val="16"/>
                <w:szCs w:val="16"/>
              </w:rPr>
              <w:t>962</w:t>
            </w:r>
          </w:p>
        </w:tc>
        <w:tc>
          <w:tcPr>
            <w:tcW w:w="1148" w:type="dxa"/>
          </w:tcPr>
          <w:p w:rsidR="003475F1" w:rsidRPr="003475F1" w:rsidRDefault="003475F1" w:rsidP="003475F1">
            <w:pPr>
              <w:rPr>
                <w:rFonts w:cstheme="minorHAnsi"/>
                <w:kern w:val="0"/>
                <w:sz w:val="16"/>
                <w:szCs w:val="16"/>
              </w:rPr>
            </w:pPr>
            <w:r w:rsidRPr="003475F1">
              <w:rPr>
                <w:rFonts w:cstheme="minorHAnsi"/>
                <w:color w:val="0E0E0E"/>
                <w:kern w:val="0"/>
                <w:sz w:val="16"/>
                <w:szCs w:val="16"/>
              </w:rPr>
              <w:t>$585,858.00</w:t>
            </w:r>
          </w:p>
        </w:tc>
        <w:tc>
          <w:tcPr>
            <w:tcW w:w="914" w:type="dxa"/>
          </w:tcPr>
          <w:p w:rsidR="003475F1" w:rsidRPr="003475F1" w:rsidRDefault="003475F1" w:rsidP="003475F1">
            <w:pPr>
              <w:rPr>
                <w:rFonts w:cstheme="minorHAnsi"/>
                <w:kern w:val="0"/>
                <w:sz w:val="16"/>
                <w:szCs w:val="16"/>
              </w:rPr>
            </w:pPr>
            <w:r w:rsidRPr="003475F1">
              <w:rPr>
                <w:rFonts w:cstheme="minorHAnsi"/>
                <w:color w:val="0E0E0E"/>
                <w:kern w:val="0"/>
                <w:sz w:val="16"/>
                <w:szCs w:val="16"/>
              </w:rPr>
              <w:t>$609.00</w:t>
            </w:r>
          </w:p>
        </w:tc>
        <w:tc>
          <w:tcPr>
            <w:tcW w:w="896" w:type="dxa"/>
          </w:tcPr>
          <w:p w:rsidR="003475F1" w:rsidRPr="003475F1" w:rsidRDefault="003475F1" w:rsidP="003475F1">
            <w:pPr>
              <w:rPr>
                <w:rFonts w:cstheme="minorHAnsi"/>
                <w:kern w:val="0"/>
                <w:sz w:val="16"/>
                <w:szCs w:val="16"/>
              </w:rPr>
            </w:pPr>
            <w:r w:rsidRPr="003475F1">
              <w:rPr>
                <w:rFonts w:cstheme="minorHAnsi"/>
                <w:color w:val="0E0E0E"/>
                <w:kern w:val="0"/>
                <w:sz w:val="16"/>
                <w:szCs w:val="16"/>
              </w:rPr>
              <w:t>83.84</w:t>
            </w:r>
          </w:p>
        </w:tc>
        <w:tc>
          <w:tcPr>
            <w:tcW w:w="915" w:type="dxa"/>
          </w:tcPr>
          <w:p w:rsidR="003475F1" w:rsidRPr="003475F1" w:rsidRDefault="003475F1" w:rsidP="003475F1">
            <w:pPr>
              <w:rPr>
                <w:rFonts w:cstheme="minorHAnsi"/>
                <w:kern w:val="0"/>
                <w:sz w:val="16"/>
                <w:szCs w:val="16"/>
              </w:rPr>
            </w:pPr>
            <w:r w:rsidRPr="003475F1">
              <w:rPr>
                <w:rFonts w:cstheme="minorHAnsi"/>
                <w:color w:val="0E0E0E"/>
                <w:kern w:val="0"/>
                <w:sz w:val="16"/>
                <w:szCs w:val="16"/>
              </w:rPr>
              <w:t>84.04</w:t>
            </w:r>
          </w:p>
        </w:tc>
        <w:tc>
          <w:tcPr>
            <w:tcW w:w="910" w:type="dxa"/>
          </w:tcPr>
          <w:p w:rsidR="003475F1" w:rsidRPr="003475F1" w:rsidRDefault="003475F1" w:rsidP="003475F1">
            <w:pPr>
              <w:rPr>
                <w:rFonts w:cstheme="minorHAnsi"/>
                <w:kern w:val="0"/>
                <w:sz w:val="16"/>
                <w:szCs w:val="16"/>
              </w:rPr>
            </w:pPr>
            <w:r w:rsidRPr="003475F1">
              <w:rPr>
                <w:rFonts w:cstheme="minorHAnsi"/>
                <w:color w:val="0E0E0E"/>
                <w:kern w:val="0"/>
                <w:sz w:val="16"/>
                <w:szCs w:val="16"/>
              </w:rPr>
              <w:t>94.59</w:t>
            </w:r>
          </w:p>
        </w:tc>
        <w:tc>
          <w:tcPr>
            <w:tcW w:w="915" w:type="dxa"/>
          </w:tcPr>
          <w:p w:rsidR="003475F1" w:rsidRPr="003475F1" w:rsidRDefault="003475F1" w:rsidP="003475F1">
            <w:pPr>
              <w:rPr>
                <w:rFonts w:cstheme="minorHAnsi"/>
                <w:kern w:val="0"/>
                <w:sz w:val="16"/>
                <w:szCs w:val="16"/>
              </w:rPr>
            </w:pPr>
            <w:r w:rsidRPr="003475F1">
              <w:rPr>
                <w:rFonts w:cstheme="minorHAnsi"/>
                <w:color w:val="0E0E0E"/>
                <w:kern w:val="0"/>
                <w:sz w:val="16"/>
                <w:szCs w:val="16"/>
              </w:rPr>
              <w:t>95.95</w:t>
            </w:r>
          </w:p>
        </w:tc>
        <w:tc>
          <w:tcPr>
            <w:tcW w:w="910" w:type="dxa"/>
          </w:tcPr>
          <w:p w:rsidR="003475F1" w:rsidRPr="003475F1" w:rsidRDefault="003475F1" w:rsidP="003475F1">
            <w:pPr>
              <w:keepNext/>
              <w:rPr>
                <w:rFonts w:cstheme="minorHAnsi"/>
                <w:sz w:val="16"/>
                <w:szCs w:val="16"/>
              </w:rPr>
            </w:pPr>
            <w:r w:rsidRPr="003475F1">
              <w:rPr>
                <w:rFonts w:cstheme="minorHAnsi"/>
                <w:color w:val="0E0E0E"/>
                <w:kern w:val="0"/>
                <w:sz w:val="16"/>
                <w:szCs w:val="16"/>
              </w:rPr>
              <w:t>90.54</w:t>
            </w:r>
          </w:p>
        </w:tc>
      </w:tr>
    </w:tbl>
    <w:p w:rsidR="003475F1" w:rsidRDefault="003475F1" w:rsidP="003475F1">
      <w:pPr>
        <w:pStyle w:val="Caption"/>
        <w:framePr w:hSpace="180" w:wrap="around" w:vAnchor="text" w:hAnchor="text" w:y="1"/>
        <w:suppressOverlap/>
      </w:pPr>
      <w:r>
        <w:t xml:space="preserve">Table </w:t>
      </w:r>
      <w:fldSimple w:instr=" SEQ Table \* ARABIC ">
        <w:r w:rsidR="003A677B">
          <w:rPr>
            <w:noProof/>
          </w:rPr>
          <w:t>1</w:t>
        </w:r>
      </w:fldSimple>
      <w:r>
        <w:t>Comprehensive Analysis Report on District-Wide Standardized Test Results</w:t>
      </w:r>
    </w:p>
    <w:p w:rsidR="003475F1" w:rsidRPr="001D68C5" w:rsidRDefault="003475F1" w:rsidP="001D68C5"/>
    <w:p w:rsidR="001D68C5" w:rsidRPr="001D68C5" w:rsidRDefault="001D68C5" w:rsidP="001D68C5"/>
    <w:p w:rsidR="003A677B" w:rsidRDefault="003A677B" w:rsidP="001D68C5">
      <w:pPr>
        <w:rPr>
          <w:b/>
          <w:bCs/>
        </w:rPr>
      </w:pPr>
      <w:r>
        <w:rPr>
          <w:b/>
          <w:bCs/>
        </w:rPr>
        <w:br/>
      </w:r>
      <w:r>
        <w:rPr>
          <w:b/>
          <w:bCs/>
        </w:rPr>
        <w:br/>
      </w:r>
    </w:p>
    <w:p w:rsidR="003A677B" w:rsidRDefault="003A677B">
      <w:pPr>
        <w:rPr>
          <w:b/>
          <w:bCs/>
        </w:rPr>
      </w:pPr>
      <w:r>
        <w:rPr>
          <w:b/>
          <w:bCs/>
        </w:rPr>
        <w:br w:type="page"/>
      </w:r>
    </w:p>
    <w:p w:rsidR="003A677B" w:rsidRPr="001D68C5" w:rsidRDefault="003A677B" w:rsidP="003A677B">
      <w:r w:rsidRPr="001D68C5">
        <w:rPr>
          <w:b/>
          <w:bCs/>
        </w:rPr>
        <w:lastRenderedPageBreak/>
        <w:t>Bottom 5 Lowest-Performing Schools (by % Overall Passing)</w:t>
      </w:r>
    </w:p>
    <w:p w:rsidR="003A677B" w:rsidRDefault="003A677B">
      <w:pPr>
        <w:rPr>
          <w:b/>
          <w:bCs/>
        </w:rPr>
      </w:pPr>
    </w:p>
    <w:tbl>
      <w:tblPr>
        <w:tblStyle w:val="TableGrid"/>
        <w:tblW w:w="0" w:type="auto"/>
        <w:tblLook w:val="04A0" w:firstRow="1" w:lastRow="0" w:firstColumn="1" w:lastColumn="0" w:noHBand="0" w:noVBand="1"/>
      </w:tblPr>
      <w:tblGrid>
        <w:gridCol w:w="933"/>
        <w:gridCol w:w="904"/>
        <w:gridCol w:w="919"/>
        <w:gridCol w:w="1148"/>
        <w:gridCol w:w="912"/>
        <w:gridCol w:w="892"/>
        <w:gridCol w:w="913"/>
        <w:gridCol w:w="908"/>
        <w:gridCol w:w="913"/>
        <w:gridCol w:w="908"/>
      </w:tblGrid>
      <w:tr w:rsidR="003A677B" w:rsidTr="003A677B">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b/>
                <w:bCs/>
                <w:color w:val="0E0E0E"/>
                <w:kern w:val="0"/>
                <w:sz w:val="16"/>
                <w:szCs w:val="16"/>
              </w:rPr>
              <w:t>School Name</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b/>
                <w:bCs/>
                <w:color w:val="0E0E0E"/>
                <w:kern w:val="0"/>
                <w:sz w:val="16"/>
                <w:szCs w:val="16"/>
              </w:rPr>
              <w:t>Type</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b/>
                <w:bCs/>
                <w:color w:val="0E0E0E"/>
                <w:kern w:val="0"/>
                <w:sz w:val="16"/>
                <w:szCs w:val="16"/>
              </w:rPr>
              <w:t>Total Students</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b/>
                <w:bCs/>
                <w:color w:val="0E0E0E"/>
                <w:kern w:val="0"/>
                <w:sz w:val="16"/>
                <w:szCs w:val="16"/>
              </w:rPr>
              <w:t>Total Budget</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b/>
                <w:bCs/>
                <w:color w:val="0E0E0E"/>
                <w:kern w:val="0"/>
                <w:sz w:val="16"/>
                <w:szCs w:val="16"/>
              </w:rPr>
              <w:t>Per Student Budget</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b/>
                <w:bCs/>
                <w:color w:val="0E0E0E"/>
                <w:kern w:val="0"/>
                <w:sz w:val="16"/>
                <w:szCs w:val="16"/>
              </w:rPr>
              <w:t>Avg Math Score</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b/>
                <w:bCs/>
                <w:color w:val="0E0E0E"/>
                <w:kern w:val="0"/>
                <w:sz w:val="16"/>
                <w:szCs w:val="16"/>
              </w:rPr>
              <w:t>Avg Reading Score</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b/>
                <w:bCs/>
                <w:color w:val="0E0E0E"/>
                <w:kern w:val="0"/>
                <w:sz w:val="16"/>
                <w:szCs w:val="16"/>
              </w:rPr>
              <w:t>% Passing Math</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b/>
                <w:bCs/>
                <w:color w:val="0E0E0E"/>
                <w:kern w:val="0"/>
                <w:sz w:val="16"/>
                <w:szCs w:val="16"/>
              </w:rPr>
              <w:t>% Passing Reading</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b/>
                <w:bCs/>
                <w:color w:val="0E0E0E"/>
                <w:kern w:val="0"/>
                <w:sz w:val="16"/>
                <w:szCs w:val="16"/>
              </w:rPr>
              <w:t>% Overall Passing</w:t>
            </w:r>
          </w:p>
        </w:tc>
      </w:tr>
      <w:tr w:rsidR="003A677B" w:rsidTr="003A677B">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Rodriguez High School</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District</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3,999</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$2,547,363.00</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$637.00</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76.84</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80.74</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66.37</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80.22</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52.99</w:t>
            </w:r>
          </w:p>
        </w:tc>
      </w:tr>
      <w:tr w:rsidR="003A677B" w:rsidTr="003A677B">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Figueroa High School</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District</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2,949</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$1,884,411.00</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$639.00</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76.71</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81.16</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65.99</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80.74</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53.20</w:t>
            </w:r>
          </w:p>
        </w:tc>
      </w:tr>
      <w:tr w:rsidR="003A677B" w:rsidTr="003A677B">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Huang High School</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District</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2,917</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$1,910,635.00</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$655.00</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76.63</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81.18</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65.68</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81.32</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53.51</w:t>
            </w:r>
          </w:p>
        </w:tc>
      </w:tr>
      <w:tr w:rsidR="003A677B" w:rsidTr="003A677B">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Hernandez High School</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District</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4,635</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$3,022,020.00</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$652.00</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77.29</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80.93</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66.75</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80.86</w:t>
            </w:r>
          </w:p>
        </w:tc>
        <w:tc>
          <w:tcPr>
            <w:tcW w:w="935" w:type="dxa"/>
          </w:tcPr>
          <w:p w:rsidR="003A677B" w:rsidRPr="003A677B" w:rsidRDefault="003A677B" w:rsidP="003A677B">
            <w:pPr>
              <w:autoSpaceDE w:val="0"/>
              <w:autoSpaceDN w:val="0"/>
              <w:adjustRightInd w:val="0"/>
              <w:spacing w:line="324" w:lineRule="auto"/>
              <w:rPr>
                <w:rFonts w:cstheme="minorHAnsi"/>
                <w:kern w:val="0"/>
                <w:sz w:val="16"/>
                <w:szCs w:val="16"/>
              </w:rPr>
            </w:pPr>
            <w:r w:rsidRPr="003A677B">
              <w:rPr>
                <w:rFonts w:cstheme="minorHAnsi"/>
                <w:color w:val="0E0E0E"/>
                <w:kern w:val="0"/>
                <w:sz w:val="16"/>
                <w:szCs w:val="16"/>
              </w:rPr>
              <w:t>53.53</w:t>
            </w:r>
          </w:p>
        </w:tc>
      </w:tr>
      <w:tr w:rsidR="003A677B" w:rsidTr="003A677B">
        <w:tc>
          <w:tcPr>
            <w:tcW w:w="935" w:type="dxa"/>
          </w:tcPr>
          <w:p w:rsidR="003A677B" w:rsidRPr="003A677B" w:rsidRDefault="003A677B" w:rsidP="003A677B">
            <w:pPr>
              <w:rPr>
                <w:rFonts w:cstheme="minorHAnsi"/>
                <w:kern w:val="0"/>
                <w:sz w:val="16"/>
                <w:szCs w:val="16"/>
              </w:rPr>
            </w:pPr>
            <w:r w:rsidRPr="003A677B">
              <w:rPr>
                <w:rFonts w:cstheme="minorHAnsi"/>
                <w:color w:val="0E0E0E"/>
                <w:kern w:val="0"/>
                <w:sz w:val="16"/>
                <w:szCs w:val="16"/>
              </w:rPr>
              <w:t>Johnson High School</w:t>
            </w:r>
          </w:p>
        </w:tc>
        <w:tc>
          <w:tcPr>
            <w:tcW w:w="935" w:type="dxa"/>
          </w:tcPr>
          <w:p w:rsidR="003A677B" w:rsidRPr="003A677B" w:rsidRDefault="003A677B" w:rsidP="003A677B">
            <w:pPr>
              <w:rPr>
                <w:rFonts w:cstheme="minorHAnsi"/>
                <w:kern w:val="0"/>
                <w:sz w:val="16"/>
                <w:szCs w:val="16"/>
              </w:rPr>
            </w:pPr>
            <w:r w:rsidRPr="003A677B">
              <w:rPr>
                <w:rFonts w:cstheme="minorHAnsi"/>
                <w:color w:val="0E0E0E"/>
                <w:kern w:val="0"/>
                <w:sz w:val="16"/>
                <w:szCs w:val="16"/>
              </w:rPr>
              <w:t>District</w:t>
            </w:r>
          </w:p>
        </w:tc>
        <w:tc>
          <w:tcPr>
            <w:tcW w:w="935" w:type="dxa"/>
          </w:tcPr>
          <w:p w:rsidR="003A677B" w:rsidRPr="003A677B" w:rsidRDefault="003A677B" w:rsidP="003A677B">
            <w:pPr>
              <w:rPr>
                <w:rFonts w:cstheme="minorHAnsi"/>
                <w:kern w:val="0"/>
                <w:sz w:val="16"/>
                <w:szCs w:val="16"/>
              </w:rPr>
            </w:pPr>
            <w:r w:rsidRPr="003A677B">
              <w:rPr>
                <w:rFonts w:cstheme="minorHAnsi"/>
                <w:color w:val="0E0E0E"/>
                <w:kern w:val="0"/>
                <w:sz w:val="16"/>
                <w:szCs w:val="16"/>
              </w:rPr>
              <w:t>4,761</w:t>
            </w:r>
          </w:p>
        </w:tc>
        <w:tc>
          <w:tcPr>
            <w:tcW w:w="935" w:type="dxa"/>
          </w:tcPr>
          <w:p w:rsidR="003A677B" w:rsidRPr="003A677B" w:rsidRDefault="003A677B" w:rsidP="003A677B">
            <w:pPr>
              <w:rPr>
                <w:rFonts w:cstheme="minorHAnsi"/>
                <w:kern w:val="0"/>
                <w:sz w:val="16"/>
                <w:szCs w:val="16"/>
              </w:rPr>
            </w:pPr>
            <w:r w:rsidRPr="003A677B">
              <w:rPr>
                <w:rFonts w:cstheme="minorHAnsi"/>
                <w:color w:val="0E0E0E"/>
                <w:kern w:val="0"/>
                <w:sz w:val="16"/>
                <w:szCs w:val="16"/>
              </w:rPr>
              <w:t>$3,094,650.00</w:t>
            </w:r>
          </w:p>
        </w:tc>
        <w:tc>
          <w:tcPr>
            <w:tcW w:w="935" w:type="dxa"/>
          </w:tcPr>
          <w:p w:rsidR="003A677B" w:rsidRPr="003A677B" w:rsidRDefault="003A677B" w:rsidP="003A677B">
            <w:pPr>
              <w:rPr>
                <w:rFonts w:cstheme="minorHAnsi"/>
                <w:kern w:val="0"/>
                <w:sz w:val="16"/>
                <w:szCs w:val="16"/>
              </w:rPr>
            </w:pPr>
            <w:r w:rsidRPr="003A677B">
              <w:rPr>
                <w:rFonts w:cstheme="minorHAnsi"/>
                <w:color w:val="0E0E0E"/>
                <w:kern w:val="0"/>
                <w:sz w:val="16"/>
                <w:szCs w:val="16"/>
              </w:rPr>
              <w:t>$650.00</w:t>
            </w:r>
          </w:p>
        </w:tc>
        <w:tc>
          <w:tcPr>
            <w:tcW w:w="935" w:type="dxa"/>
          </w:tcPr>
          <w:p w:rsidR="003A677B" w:rsidRPr="003A677B" w:rsidRDefault="003A677B" w:rsidP="003A677B">
            <w:pPr>
              <w:rPr>
                <w:rFonts w:cstheme="minorHAnsi"/>
                <w:kern w:val="0"/>
                <w:sz w:val="16"/>
                <w:szCs w:val="16"/>
              </w:rPr>
            </w:pPr>
            <w:r w:rsidRPr="003A677B">
              <w:rPr>
                <w:rFonts w:cstheme="minorHAnsi"/>
                <w:color w:val="0E0E0E"/>
                <w:kern w:val="0"/>
                <w:sz w:val="16"/>
                <w:szCs w:val="16"/>
              </w:rPr>
              <w:t>77.07</w:t>
            </w:r>
          </w:p>
        </w:tc>
        <w:tc>
          <w:tcPr>
            <w:tcW w:w="935" w:type="dxa"/>
          </w:tcPr>
          <w:p w:rsidR="003A677B" w:rsidRPr="003A677B" w:rsidRDefault="003A677B" w:rsidP="003A677B">
            <w:pPr>
              <w:rPr>
                <w:rFonts w:cstheme="minorHAnsi"/>
                <w:kern w:val="0"/>
                <w:sz w:val="16"/>
                <w:szCs w:val="16"/>
              </w:rPr>
            </w:pPr>
            <w:r w:rsidRPr="003A677B">
              <w:rPr>
                <w:rFonts w:cstheme="minorHAnsi"/>
                <w:color w:val="0E0E0E"/>
                <w:kern w:val="0"/>
                <w:sz w:val="16"/>
                <w:szCs w:val="16"/>
              </w:rPr>
              <w:t>80.97</w:t>
            </w:r>
          </w:p>
        </w:tc>
        <w:tc>
          <w:tcPr>
            <w:tcW w:w="935" w:type="dxa"/>
          </w:tcPr>
          <w:p w:rsidR="003A677B" w:rsidRPr="003A677B" w:rsidRDefault="003A677B" w:rsidP="003A677B">
            <w:pPr>
              <w:rPr>
                <w:rFonts w:cstheme="minorHAnsi"/>
                <w:kern w:val="0"/>
                <w:sz w:val="16"/>
                <w:szCs w:val="16"/>
              </w:rPr>
            </w:pPr>
            <w:r w:rsidRPr="003A677B">
              <w:rPr>
                <w:rFonts w:cstheme="minorHAnsi"/>
                <w:color w:val="0E0E0E"/>
                <w:kern w:val="0"/>
                <w:sz w:val="16"/>
                <w:szCs w:val="16"/>
              </w:rPr>
              <w:t>66.06</w:t>
            </w:r>
          </w:p>
        </w:tc>
        <w:tc>
          <w:tcPr>
            <w:tcW w:w="935" w:type="dxa"/>
          </w:tcPr>
          <w:p w:rsidR="003A677B" w:rsidRPr="003A677B" w:rsidRDefault="003A677B" w:rsidP="003A677B">
            <w:pPr>
              <w:rPr>
                <w:rFonts w:cstheme="minorHAnsi"/>
                <w:kern w:val="0"/>
                <w:sz w:val="16"/>
                <w:szCs w:val="16"/>
              </w:rPr>
            </w:pPr>
            <w:r w:rsidRPr="003A677B">
              <w:rPr>
                <w:rFonts w:cstheme="minorHAnsi"/>
                <w:color w:val="0E0E0E"/>
                <w:kern w:val="0"/>
                <w:sz w:val="16"/>
                <w:szCs w:val="16"/>
              </w:rPr>
              <w:t>81.22</w:t>
            </w:r>
          </w:p>
        </w:tc>
        <w:tc>
          <w:tcPr>
            <w:tcW w:w="935" w:type="dxa"/>
          </w:tcPr>
          <w:p w:rsidR="003A677B" w:rsidRPr="003A677B" w:rsidRDefault="003A677B" w:rsidP="003A677B">
            <w:pPr>
              <w:keepNext/>
              <w:rPr>
                <w:rFonts w:cstheme="minorHAnsi"/>
                <w:sz w:val="16"/>
                <w:szCs w:val="16"/>
              </w:rPr>
            </w:pPr>
            <w:r w:rsidRPr="003A677B">
              <w:rPr>
                <w:rFonts w:cstheme="minorHAnsi"/>
                <w:color w:val="0E0E0E"/>
                <w:kern w:val="0"/>
                <w:sz w:val="16"/>
                <w:szCs w:val="16"/>
              </w:rPr>
              <w:t>53.54</w:t>
            </w:r>
          </w:p>
        </w:tc>
      </w:tr>
    </w:tbl>
    <w:p w:rsidR="003A677B" w:rsidRDefault="003A677B" w:rsidP="003A677B">
      <w:pPr>
        <w:pStyle w:val="Caption"/>
        <w:rPr>
          <w:b/>
          <w:bCs/>
        </w:rPr>
      </w:pPr>
      <w:r>
        <w:t xml:space="preserve">Table </w:t>
      </w:r>
      <w:fldSimple w:instr=" SEQ Table \* ARABIC ">
        <w:r>
          <w:rPr>
            <w:noProof/>
          </w:rPr>
          <w:t>2</w:t>
        </w:r>
      </w:fldSimple>
      <w:r>
        <w:t>:</w:t>
      </w:r>
      <w:r w:rsidRPr="00CD77F7">
        <w:t xml:space="preserve"> 5 Lowest-Performing Schools (by % Overall Passing)</w:t>
      </w:r>
    </w:p>
    <w:p w:rsidR="001D68C5" w:rsidRPr="001D68C5" w:rsidRDefault="001D68C5" w:rsidP="001D68C5"/>
    <w:p w:rsidR="001D68C5" w:rsidRPr="001D68C5" w:rsidRDefault="001D68C5" w:rsidP="001D68C5">
      <w:r w:rsidRPr="001D68C5">
        <w:rPr>
          <w:b/>
          <w:bCs/>
        </w:rPr>
        <w:t>Resource Allocation Analysis: Per-Student Budget</w:t>
      </w:r>
    </w:p>
    <w:p w:rsidR="001D68C5" w:rsidRPr="001D68C5" w:rsidRDefault="001D68C5" w:rsidP="001D68C5"/>
    <w:p w:rsidR="001D68C5" w:rsidRPr="001D68C5" w:rsidRDefault="001D68C5" w:rsidP="001D68C5">
      <w:pPr>
        <w:rPr>
          <w:i/>
          <w:iCs/>
        </w:rPr>
      </w:pPr>
      <w:r w:rsidRPr="001D68C5">
        <w:rPr>
          <w:b/>
          <w:bCs/>
          <w:i/>
          <w:iCs/>
        </w:rPr>
        <w:t>Charter Schools</w:t>
      </w:r>
    </w:p>
    <w:p w:rsidR="001D68C5" w:rsidRPr="001D68C5" w:rsidRDefault="001D68C5" w:rsidP="003A677B">
      <w:pPr>
        <w:pStyle w:val="ListParagraph"/>
        <w:numPr>
          <w:ilvl w:val="0"/>
          <w:numId w:val="6"/>
        </w:numPr>
      </w:pPr>
      <w:r w:rsidRPr="001D68C5">
        <w:t>Charter schools operate with slightly lower per-student budgets, ranging from $578 to $638.</w:t>
      </w:r>
    </w:p>
    <w:p w:rsidR="001D68C5" w:rsidRPr="001D68C5" w:rsidRDefault="001D68C5" w:rsidP="003A677B">
      <w:pPr>
        <w:pStyle w:val="ListParagraph"/>
        <w:numPr>
          <w:ilvl w:val="0"/>
          <w:numId w:val="6"/>
        </w:numPr>
      </w:pPr>
      <w:r w:rsidRPr="001D68C5">
        <w:t>Despite lower budgets, these schools consistently perform well, suggesting efficient resource utilization.</w:t>
      </w:r>
    </w:p>
    <w:p w:rsidR="001D68C5" w:rsidRPr="001D68C5" w:rsidRDefault="001D68C5" w:rsidP="001D68C5"/>
    <w:p w:rsidR="001D68C5" w:rsidRPr="001D68C5" w:rsidRDefault="001D68C5" w:rsidP="001D68C5">
      <w:pPr>
        <w:rPr>
          <w:i/>
          <w:iCs/>
        </w:rPr>
      </w:pPr>
      <w:r w:rsidRPr="001D68C5">
        <w:rPr>
          <w:b/>
          <w:bCs/>
          <w:i/>
          <w:iCs/>
        </w:rPr>
        <w:t>District Schools</w:t>
      </w:r>
    </w:p>
    <w:p w:rsidR="001D68C5" w:rsidRPr="001D68C5" w:rsidRDefault="001D68C5" w:rsidP="003A677B">
      <w:pPr>
        <w:pStyle w:val="ListParagraph"/>
        <w:numPr>
          <w:ilvl w:val="0"/>
          <w:numId w:val="7"/>
        </w:numPr>
      </w:pPr>
      <w:r w:rsidRPr="001D68C5">
        <w:t>District schools typically have higher per-student budgets, from $628 to $655.</w:t>
      </w:r>
    </w:p>
    <w:p w:rsidR="001D68C5" w:rsidRPr="001D68C5" w:rsidRDefault="001D68C5" w:rsidP="003A677B">
      <w:pPr>
        <w:pStyle w:val="ListParagraph"/>
        <w:numPr>
          <w:ilvl w:val="0"/>
          <w:numId w:val="7"/>
        </w:numPr>
      </w:pPr>
      <w:r w:rsidRPr="001D68C5">
        <w:t>Their lower performance across standardized measures may indicate inefficiencies in resource allocation.</w:t>
      </w:r>
    </w:p>
    <w:p w:rsidR="001D68C5" w:rsidRPr="001D68C5" w:rsidRDefault="001D68C5" w:rsidP="001D68C5"/>
    <w:p w:rsidR="001D68C5" w:rsidRPr="001D68C5" w:rsidRDefault="001D68C5" w:rsidP="001D68C5">
      <w:pPr>
        <w:rPr>
          <w:b/>
          <w:bCs/>
        </w:rPr>
      </w:pPr>
      <w:r w:rsidRPr="001D68C5">
        <w:rPr>
          <w:b/>
          <w:bCs/>
        </w:rPr>
        <w:t>Key Observations</w:t>
      </w:r>
    </w:p>
    <w:p w:rsidR="003A677B" w:rsidRDefault="003A677B" w:rsidP="003A677B"/>
    <w:p w:rsidR="001D68C5" w:rsidRPr="001D68C5" w:rsidRDefault="001D68C5" w:rsidP="003A677B">
      <w:pPr>
        <w:pStyle w:val="ListParagraph"/>
        <w:numPr>
          <w:ilvl w:val="0"/>
          <w:numId w:val="9"/>
        </w:numPr>
      </w:pPr>
      <w:r w:rsidRPr="003A677B">
        <w:rPr>
          <w:b/>
          <w:bCs/>
        </w:rPr>
        <w:t>Charter Schools Excel with Lower Funding:</w:t>
      </w:r>
      <w:r w:rsidR="003A677B">
        <w:rPr>
          <w:b/>
          <w:bCs/>
        </w:rPr>
        <w:t xml:space="preserve"> </w:t>
      </w:r>
      <w:r w:rsidRPr="001D68C5">
        <w:t>Charter schools outperform district schools across metrics despite operating with lower per-student funding.</w:t>
      </w:r>
    </w:p>
    <w:p w:rsidR="001D68C5" w:rsidRPr="001D68C5" w:rsidRDefault="001D68C5" w:rsidP="001D68C5">
      <w:pPr>
        <w:pStyle w:val="ListParagraph"/>
        <w:numPr>
          <w:ilvl w:val="0"/>
          <w:numId w:val="9"/>
        </w:numPr>
      </w:pPr>
      <w:r w:rsidRPr="003A677B">
        <w:rPr>
          <w:b/>
          <w:bCs/>
        </w:rPr>
        <w:t>Potential Inefficiencies in District Schools</w:t>
      </w:r>
      <w:r w:rsidR="003A677B">
        <w:rPr>
          <w:b/>
          <w:bCs/>
        </w:rPr>
        <w:t xml:space="preserve"> </w:t>
      </w:r>
      <w:r w:rsidRPr="001D68C5">
        <w:t>District schools, with higher funding, show lower performance, suggesting potential inefficiencies in resource allocation or instructional practices.</w:t>
      </w:r>
    </w:p>
    <w:p w:rsidR="001D68C5" w:rsidRPr="001D68C5" w:rsidRDefault="001D68C5" w:rsidP="001D68C5">
      <w:pPr>
        <w:pStyle w:val="ListParagraph"/>
        <w:numPr>
          <w:ilvl w:val="0"/>
          <w:numId w:val="9"/>
        </w:numPr>
      </w:pPr>
      <w:r w:rsidRPr="003A677B">
        <w:rPr>
          <w:b/>
          <w:bCs/>
        </w:rPr>
        <w:t>High-Performing Schools Share Common Characteristics:</w:t>
      </w:r>
      <w:r w:rsidR="003A677B">
        <w:rPr>
          <w:b/>
          <w:bCs/>
        </w:rPr>
        <w:t xml:space="preserve"> </w:t>
      </w:r>
      <w:r w:rsidRPr="001D68C5">
        <w:t>The top-performing schools, all charter schools, reflect strong academic outcomes, indicating that charter school strategies could benefit district schools.</w:t>
      </w:r>
    </w:p>
    <w:p w:rsidR="001D68C5" w:rsidRPr="001D68C5" w:rsidRDefault="001D68C5" w:rsidP="001D68C5"/>
    <w:p w:rsidR="001D68C5" w:rsidRPr="001D68C5" w:rsidRDefault="001D68C5" w:rsidP="001D68C5">
      <w:r w:rsidRPr="001D68C5">
        <w:rPr>
          <w:b/>
          <w:bCs/>
        </w:rPr>
        <w:t>Conclusion</w:t>
      </w:r>
    </w:p>
    <w:p w:rsidR="001D68C5" w:rsidRPr="001D68C5" w:rsidRDefault="001D68C5" w:rsidP="001D68C5"/>
    <w:p w:rsidR="001D68C5" w:rsidRPr="001D68C5" w:rsidRDefault="001D68C5" w:rsidP="001D68C5">
      <w:r w:rsidRPr="001D68C5">
        <w:t>The analysis reveals that charter schools generally achieve superior standardized test outcomes while operating with less per-student funding. This suggests effective resource management within charter schools. District schools may benefit from adopting successful strategies observed in charter schools, optimizing resource use to improve educational outcomes. It is recommended that the district explore policies and reforms to better support district schools, focusing on efficient resource allocation and improved academic performance.</w:t>
      </w:r>
    </w:p>
    <w:sectPr w:rsidR="001D68C5" w:rsidRPr="001D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B481D"/>
    <w:multiLevelType w:val="hybridMultilevel"/>
    <w:tmpl w:val="CD829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A4875"/>
    <w:multiLevelType w:val="hybridMultilevel"/>
    <w:tmpl w:val="FEEC3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41E3D"/>
    <w:multiLevelType w:val="hybridMultilevel"/>
    <w:tmpl w:val="CA9E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9107D"/>
    <w:multiLevelType w:val="hybridMultilevel"/>
    <w:tmpl w:val="7BEEC9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1FC12F8"/>
    <w:multiLevelType w:val="hybridMultilevel"/>
    <w:tmpl w:val="CE5A0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033DF9"/>
    <w:multiLevelType w:val="hybridMultilevel"/>
    <w:tmpl w:val="49D83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D73CE2"/>
    <w:multiLevelType w:val="hybridMultilevel"/>
    <w:tmpl w:val="8A264E58"/>
    <w:lvl w:ilvl="0" w:tplc="04090001">
      <w:start w:val="1"/>
      <w:numFmt w:val="bullet"/>
      <w:lvlText w:val=""/>
      <w:lvlJc w:val="left"/>
      <w:pPr>
        <w:ind w:left="1440" w:hanging="360"/>
      </w:pPr>
      <w:rPr>
        <w:rFonts w:ascii="Symbol" w:hAnsi="Symbol" w:hint="default"/>
      </w:rPr>
    </w:lvl>
    <w:lvl w:ilvl="1" w:tplc="DD20A04E">
      <w:start w:val="3"/>
      <w:numFmt w:val="bullet"/>
      <w:lvlText w:val="•"/>
      <w:lvlJc w:val="left"/>
      <w:pPr>
        <w:ind w:left="2520" w:hanging="72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662595"/>
    <w:multiLevelType w:val="hybridMultilevel"/>
    <w:tmpl w:val="A586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54F4F"/>
    <w:multiLevelType w:val="hybridMultilevel"/>
    <w:tmpl w:val="1ACA1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66549674">
    <w:abstractNumId w:val="8"/>
  </w:num>
  <w:num w:numId="2" w16cid:durableId="2097898855">
    <w:abstractNumId w:val="6"/>
  </w:num>
  <w:num w:numId="3" w16cid:durableId="177279612">
    <w:abstractNumId w:val="5"/>
  </w:num>
  <w:num w:numId="4" w16cid:durableId="61411406">
    <w:abstractNumId w:val="4"/>
  </w:num>
  <w:num w:numId="5" w16cid:durableId="791288491">
    <w:abstractNumId w:val="3"/>
  </w:num>
  <w:num w:numId="6" w16cid:durableId="214899980">
    <w:abstractNumId w:val="1"/>
  </w:num>
  <w:num w:numId="7" w16cid:durableId="1174686123">
    <w:abstractNumId w:val="7"/>
  </w:num>
  <w:num w:numId="8" w16cid:durableId="1545290907">
    <w:abstractNumId w:val="2"/>
  </w:num>
  <w:num w:numId="9" w16cid:durableId="105292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C5"/>
    <w:rsid w:val="001D68C5"/>
    <w:rsid w:val="003475F1"/>
    <w:rsid w:val="003A677B"/>
    <w:rsid w:val="00465EB1"/>
    <w:rsid w:val="0086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98D3D"/>
  <w15:chartTrackingRefBased/>
  <w15:docId w15:val="{4FD3C2DF-C3C3-AD47-8711-18A4B915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8C5"/>
    <w:pPr>
      <w:ind w:left="720"/>
      <w:contextualSpacing/>
    </w:pPr>
  </w:style>
  <w:style w:type="table" w:styleId="TableGrid">
    <w:name w:val="Table Grid"/>
    <w:basedOn w:val="TableNormal"/>
    <w:uiPriority w:val="39"/>
    <w:rsid w:val="00347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475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475F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Atnafu Brhane</dc:creator>
  <cp:keywords/>
  <dc:description/>
  <cp:lastModifiedBy>Atnafu Brhane</cp:lastModifiedBy>
  <cp:revision>1</cp:revision>
  <dcterms:created xsi:type="dcterms:W3CDTF">2024-11-14T20:21:00Z</dcterms:created>
  <dcterms:modified xsi:type="dcterms:W3CDTF">2024-11-14T21:22:00Z</dcterms:modified>
</cp:coreProperties>
</file>